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6D2C8" w14:textId="7DFE66DF" w:rsidR="004958F6" w:rsidRPr="00DD27C1" w:rsidRDefault="00DD27C1">
      <w:pPr>
        <w:rPr>
          <w:rFonts w:cstheme="minorHAnsi"/>
          <w:b/>
          <w:bCs/>
          <w:lang w:val="en-US"/>
        </w:rPr>
      </w:pPr>
      <w:r w:rsidRPr="00DD27C1">
        <w:rPr>
          <w:rFonts w:ascii="Segoe UI" w:hAnsi="Segoe UI" w:cs="Segoe UI"/>
          <w:b/>
          <w:bCs/>
          <w:sz w:val="21"/>
          <w:szCs w:val="21"/>
          <w:shd w:val="clear" w:color="auto" w:fill="FFFFFF"/>
        </w:rPr>
        <w:t>High Court Declines to Extend Article 2 State Detention Categories in Police-Related Death Cases</w:t>
      </w:r>
    </w:p>
    <w:p w14:paraId="7E00FF58" w14:textId="3FA6E9A0" w:rsidR="004943BC" w:rsidRPr="00E61B72" w:rsidRDefault="00016BBE" w:rsidP="00E67D30">
      <w:pPr>
        <w:spacing w:after="0" w:line="360" w:lineRule="auto"/>
        <w:jc w:val="both"/>
        <w:rPr>
          <w:rFonts w:cstheme="minorHAnsi"/>
          <w:lang w:val="en-US"/>
        </w:rPr>
      </w:pPr>
      <w:r w:rsidRPr="00E61B72">
        <w:rPr>
          <w:rFonts w:cstheme="minorHAnsi"/>
          <w:lang w:val="en-US"/>
        </w:rPr>
        <w:t>The King (on t</w:t>
      </w:r>
      <w:r w:rsidR="000447C0" w:rsidRPr="00E61B72">
        <w:rPr>
          <w:rFonts w:cstheme="minorHAnsi"/>
          <w:lang w:val="en-US"/>
        </w:rPr>
        <w:t xml:space="preserve">he </w:t>
      </w:r>
      <w:r w:rsidRPr="00E61B72">
        <w:rPr>
          <w:rFonts w:cstheme="minorHAnsi"/>
          <w:lang w:val="en-US"/>
        </w:rPr>
        <w:t xml:space="preserve">application of </w:t>
      </w:r>
      <w:proofErr w:type="spellStart"/>
      <w:r w:rsidRPr="00E61B72">
        <w:rPr>
          <w:rFonts w:cstheme="minorHAnsi"/>
          <w:lang w:val="en-US"/>
        </w:rPr>
        <w:t>Mrs</w:t>
      </w:r>
      <w:proofErr w:type="spellEnd"/>
      <w:r w:rsidRPr="00E61B72">
        <w:rPr>
          <w:rFonts w:cstheme="minorHAnsi"/>
          <w:lang w:val="en-US"/>
        </w:rPr>
        <w:t xml:space="preserve"> Veronica Robinson) v HM Assistant Coroner for Blackpool &amp; Fylde and Chief Constable of Lancashire [2025] </w:t>
      </w:r>
      <w:r w:rsidR="00EB24BA">
        <w:rPr>
          <w:rFonts w:cstheme="minorHAnsi"/>
          <w:lang w:val="en-US"/>
        </w:rPr>
        <w:t>EWHC 781 (Admin).</w:t>
      </w:r>
    </w:p>
    <w:p w14:paraId="18300314" w14:textId="77777777" w:rsidR="00C64AB8" w:rsidRDefault="00C64AB8" w:rsidP="00E67D30">
      <w:pPr>
        <w:spacing w:after="0" w:line="360" w:lineRule="auto"/>
        <w:jc w:val="both"/>
        <w:rPr>
          <w:rFonts w:cstheme="minorHAnsi"/>
          <w:b/>
          <w:lang w:val="en-US"/>
        </w:rPr>
      </w:pPr>
    </w:p>
    <w:p w14:paraId="04F2D2BD" w14:textId="77777777" w:rsidR="00F839F8" w:rsidRPr="00F839F8" w:rsidRDefault="00F839F8" w:rsidP="00E67D30">
      <w:pPr>
        <w:spacing w:after="0" w:line="360" w:lineRule="auto"/>
        <w:jc w:val="both"/>
        <w:rPr>
          <w:rFonts w:cstheme="minorHAnsi"/>
          <w:b/>
          <w:u w:val="single"/>
          <w:lang w:val="en-US"/>
        </w:rPr>
      </w:pPr>
      <w:r>
        <w:rPr>
          <w:rFonts w:cstheme="minorHAnsi"/>
          <w:b/>
          <w:u w:val="single"/>
          <w:lang w:val="en-US"/>
        </w:rPr>
        <w:t>Background</w:t>
      </w:r>
    </w:p>
    <w:p w14:paraId="728B402C" w14:textId="77777777" w:rsidR="00F839F8" w:rsidRDefault="0030122D" w:rsidP="00E67D30">
      <w:pPr>
        <w:spacing w:after="0" w:line="360" w:lineRule="auto"/>
        <w:jc w:val="both"/>
        <w:rPr>
          <w:rFonts w:cstheme="minorHAnsi"/>
          <w:lang w:val="en-US"/>
        </w:rPr>
      </w:pPr>
      <w:r w:rsidRPr="00E61B72">
        <w:rPr>
          <w:rFonts w:cstheme="minorHAnsi"/>
          <w:lang w:val="en-US"/>
        </w:rPr>
        <w:t xml:space="preserve">This judicial review arose from a jury inquest that was heard over 5 days in Blackpool. </w:t>
      </w:r>
      <w:r w:rsidR="00E67D30" w:rsidRPr="00E61B72">
        <w:rPr>
          <w:rFonts w:cstheme="minorHAnsi"/>
          <w:lang w:val="en-US"/>
        </w:rPr>
        <w:t xml:space="preserve">On 11 March 2021, </w:t>
      </w:r>
      <w:proofErr w:type="spellStart"/>
      <w:r w:rsidR="00E67D30" w:rsidRPr="00E61B72">
        <w:rPr>
          <w:rFonts w:cstheme="minorHAnsi"/>
          <w:lang w:val="en-US"/>
        </w:rPr>
        <w:t>Mr</w:t>
      </w:r>
      <w:proofErr w:type="spellEnd"/>
      <w:r w:rsidR="00E67D30" w:rsidRPr="00E61B72">
        <w:rPr>
          <w:rFonts w:cstheme="minorHAnsi"/>
          <w:lang w:val="en-US"/>
        </w:rPr>
        <w:t xml:space="preserve"> Robinson was driving a </w:t>
      </w:r>
      <w:r w:rsidR="006326A5" w:rsidRPr="00E61B72">
        <w:rPr>
          <w:rFonts w:cstheme="minorHAnsi"/>
          <w:lang w:val="en-US"/>
        </w:rPr>
        <w:t>vehicle</w:t>
      </w:r>
      <w:r w:rsidR="00DB6F33">
        <w:rPr>
          <w:rFonts w:cstheme="minorHAnsi"/>
          <w:lang w:val="en-US"/>
        </w:rPr>
        <w:t xml:space="preserve"> through Blackpool, the vehicle </w:t>
      </w:r>
      <w:r w:rsidR="00E67D30" w:rsidRPr="00E61B72">
        <w:rPr>
          <w:rFonts w:cstheme="minorHAnsi"/>
          <w:lang w:val="en-US"/>
        </w:rPr>
        <w:t>was registered as stolen</w:t>
      </w:r>
      <w:r w:rsidR="00DB6F33">
        <w:rPr>
          <w:rFonts w:cstheme="minorHAnsi"/>
          <w:lang w:val="en-US"/>
        </w:rPr>
        <w:t xml:space="preserve">. </w:t>
      </w:r>
      <w:r w:rsidR="00E67D30" w:rsidRPr="00E61B72">
        <w:rPr>
          <w:rFonts w:cstheme="minorHAnsi"/>
          <w:lang w:val="en-US"/>
        </w:rPr>
        <w:t xml:space="preserve">He drove past a vehicle of the </w:t>
      </w:r>
      <w:r w:rsidR="00610736" w:rsidRPr="00E61B72">
        <w:rPr>
          <w:rFonts w:cstheme="minorHAnsi"/>
          <w:lang w:val="en-US"/>
        </w:rPr>
        <w:t xml:space="preserve">Police </w:t>
      </w:r>
      <w:r w:rsidR="00E67D30" w:rsidRPr="00E61B72">
        <w:rPr>
          <w:rFonts w:cstheme="minorHAnsi"/>
          <w:lang w:val="en-US"/>
        </w:rPr>
        <w:t xml:space="preserve">Constabulary, which was fitted with an ANPR camera, </w:t>
      </w:r>
      <w:r w:rsidR="00125CAD">
        <w:rPr>
          <w:rFonts w:cstheme="minorHAnsi"/>
          <w:lang w:val="en-US"/>
        </w:rPr>
        <w:t>this camera activated</w:t>
      </w:r>
      <w:r w:rsidR="00E67D30" w:rsidRPr="00E61B72">
        <w:rPr>
          <w:rFonts w:cstheme="minorHAnsi"/>
          <w:lang w:val="en-US"/>
        </w:rPr>
        <w:t>. After a very short police chase</w:t>
      </w:r>
      <w:r w:rsidR="00125CAD">
        <w:rPr>
          <w:rFonts w:cstheme="minorHAnsi"/>
          <w:lang w:val="en-US"/>
        </w:rPr>
        <w:t>,</w:t>
      </w:r>
      <w:r w:rsidR="00E67D30" w:rsidRPr="00E61B72">
        <w:rPr>
          <w:rFonts w:cstheme="minorHAnsi"/>
          <w:lang w:val="en-US"/>
        </w:rPr>
        <w:t xml:space="preserve"> </w:t>
      </w:r>
      <w:proofErr w:type="spellStart"/>
      <w:r w:rsidR="00E67D30" w:rsidRPr="00E61B72">
        <w:rPr>
          <w:rFonts w:cstheme="minorHAnsi"/>
          <w:lang w:val="en-US"/>
        </w:rPr>
        <w:t>Mr</w:t>
      </w:r>
      <w:proofErr w:type="spellEnd"/>
      <w:r w:rsidR="00E67D30" w:rsidRPr="00E61B72">
        <w:rPr>
          <w:rFonts w:cstheme="minorHAnsi"/>
          <w:lang w:val="en-US"/>
        </w:rPr>
        <w:t xml:space="preserve"> Robinson stopped his vehicl</w:t>
      </w:r>
      <w:r w:rsidR="00125CAD">
        <w:rPr>
          <w:rFonts w:cstheme="minorHAnsi"/>
          <w:lang w:val="en-US"/>
        </w:rPr>
        <w:t>e, he</w:t>
      </w:r>
      <w:r w:rsidR="00E67D30" w:rsidRPr="00E61B72">
        <w:rPr>
          <w:rFonts w:cstheme="minorHAnsi"/>
          <w:lang w:val="en-US"/>
        </w:rPr>
        <w:t xml:space="preserve"> exited to th</w:t>
      </w:r>
      <w:r w:rsidR="00125CAD">
        <w:rPr>
          <w:rFonts w:cstheme="minorHAnsi"/>
          <w:lang w:val="en-US"/>
        </w:rPr>
        <w:t xml:space="preserve">e pavement and was seen to turn towards the police officers with </w:t>
      </w:r>
      <w:r w:rsidR="00E67D30" w:rsidRPr="00E61B72">
        <w:rPr>
          <w:rFonts w:cstheme="minorHAnsi"/>
          <w:lang w:val="en-US"/>
        </w:rPr>
        <w:t xml:space="preserve">one hand concealed in his pocket. </w:t>
      </w:r>
      <w:r w:rsidR="005E4C05" w:rsidRPr="00E61B72">
        <w:rPr>
          <w:rFonts w:cstheme="minorHAnsi"/>
          <w:lang w:val="en-US"/>
        </w:rPr>
        <w:t>In a very fast moving situation, t</w:t>
      </w:r>
      <w:r w:rsidR="00125CAD">
        <w:rPr>
          <w:rFonts w:cstheme="minorHAnsi"/>
          <w:lang w:val="en-US"/>
        </w:rPr>
        <w:t xml:space="preserve">he two </w:t>
      </w:r>
      <w:r w:rsidR="00E67D30" w:rsidRPr="00E61B72">
        <w:rPr>
          <w:rFonts w:cstheme="minorHAnsi"/>
          <w:lang w:val="en-US"/>
        </w:rPr>
        <w:t>police officers</w:t>
      </w:r>
      <w:r w:rsidR="00125CAD">
        <w:rPr>
          <w:rFonts w:cstheme="minorHAnsi"/>
          <w:lang w:val="en-US"/>
        </w:rPr>
        <w:t xml:space="preserve">, who were armed response officers, </w:t>
      </w:r>
      <w:r w:rsidR="00E67D30" w:rsidRPr="00E61B72">
        <w:rPr>
          <w:rFonts w:cstheme="minorHAnsi"/>
          <w:lang w:val="en-US"/>
        </w:rPr>
        <w:t>sought to restrain him</w:t>
      </w:r>
      <w:r w:rsidR="00125CAD">
        <w:rPr>
          <w:rFonts w:cstheme="minorHAnsi"/>
          <w:lang w:val="en-US"/>
        </w:rPr>
        <w:t>. I</w:t>
      </w:r>
      <w:r w:rsidR="00E67D30" w:rsidRPr="00E61B72">
        <w:rPr>
          <w:rFonts w:cstheme="minorHAnsi"/>
          <w:lang w:val="en-US"/>
        </w:rPr>
        <w:t xml:space="preserve">n the struggle </w:t>
      </w:r>
      <w:proofErr w:type="spellStart"/>
      <w:r w:rsidR="00E67D30" w:rsidRPr="00E61B72">
        <w:rPr>
          <w:rFonts w:cstheme="minorHAnsi"/>
          <w:lang w:val="en-US"/>
        </w:rPr>
        <w:t>Mr</w:t>
      </w:r>
      <w:proofErr w:type="spellEnd"/>
      <w:r w:rsidR="00E67D30" w:rsidRPr="00E61B72">
        <w:rPr>
          <w:rFonts w:cstheme="minorHAnsi"/>
          <w:lang w:val="en-US"/>
        </w:rPr>
        <w:t xml:space="preserve"> Robinson placed a package into his mouth</w:t>
      </w:r>
      <w:r w:rsidR="00125CAD">
        <w:rPr>
          <w:rFonts w:cstheme="minorHAnsi"/>
          <w:lang w:val="en-US"/>
        </w:rPr>
        <w:t xml:space="preserve"> and h</w:t>
      </w:r>
      <w:r w:rsidR="00E67D30" w:rsidRPr="00E61B72">
        <w:rPr>
          <w:rFonts w:cstheme="minorHAnsi"/>
          <w:lang w:val="en-US"/>
        </w:rPr>
        <w:t>e very quickly became unresponsive</w:t>
      </w:r>
      <w:r w:rsidR="00125CAD">
        <w:rPr>
          <w:rFonts w:cstheme="minorHAnsi"/>
          <w:lang w:val="en-US"/>
        </w:rPr>
        <w:t xml:space="preserve">. </w:t>
      </w:r>
      <w:r w:rsidR="00E67D30" w:rsidRPr="00E61B72">
        <w:rPr>
          <w:rFonts w:cstheme="minorHAnsi"/>
          <w:lang w:val="en-US"/>
        </w:rPr>
        <w:t xml:space="preserve"> </w:t>
      </w:r>
      <w:r w:rsidR="00125CAD">
        <w:rPr>
          <w:rFonts w:cstheme="minorHAnsi"/>
          <w:lang w:val="en-US"/>
        </w:rPr>
        <w:t>T</w:t>
      </w:r>
      <w:r w:rsidR="00E67D30" w:rsidRPr="00E61B72">
        <w:rPr>
          <w:rFonts w:cstheme="minorHAnsi"/>
          <w:lang w:val="en-US"/>
        </w:rPr>
        <w:t>he police officers called for an ambulance and commenced CPR.</w:t>
      </w:r>
    </w:p>
    <w:p w14:paraId="6329DBEE" w14:textId="77777777" w:rsidR="00F839F8" w:rsidRDefault="00F839F8" w:rsidP="00E67D30">
      <w:pPr>
        <w:spacing w:after="0" w:line="360" w:lineRule="auto"/>
        <w:jc w:val="both"/>
        <w:rPr>
          <w:rFonts w:cstheme="minorHAnsi"/>
          <w:lang w:val="en-US"/>
        </w:rPr>
      </w:pPr>
    </w:p>
    <w:p w14:paraId="57E734B8" w14:textId="77777777" w:rsidR="00C64AB8" w:rsidRPr="00E61B72" w:rsidRDefault="00E67D30" w:rsidP="00E67D30">
      <w:pPr>
        <w:spacing w:after="0" w:line="360" w:lineRule="auto"/>
        <w:jc w:val="both"/>
        <w:rPr>
          <w:rFonts w:cstheme="minorHAnsi"/>
          <w:lang w:val="en-US"/>
        </w:rPr>
      </w:pPr>
      <w:r w:rsidRPr="00E61B72">
        <w:rPr>
          <w:rFonts w:cstheme="minorHAnsi"/>
          <w:lang w:val="en-US"/>
        </w:rPr>
        <w:t xml:space="preserve">It transpired that the package taken by </w:t>
      </w:r>
      <w:proofErr w:type="spellStart"/>
      <w:r w:rsidRPr="00E61B72">
        <w:rPr>
          <w:rFonts w:cstheme="minorHAnsi"/>
          <w:lang w:val="en-US"/>
        </w:rPr>
        <w:t>Mr</w:t>
      </w:r>
      <w:proofErr w:type="spellEnd"/>
      <w:r w:rsidRPr="00E61B72">
        <w:rPr>
          <w:rFonts w:cstheme="minorHAnsi"/>
          <w:lang w:val="en-US"/>
        </w:rPr>
        <w:t xml:space="preserve"> Robinson was a package of drugs</w:t>
      </w:r>
      <w:r w:rsidR="00AD322C">
        <w:rPr>
          <w:rFonts w:cstheme="minorHAnsi"/>
          <w:lang w:val="en-US"/>
        </w:rPr>
        <w:t xml:space="preserve">. This package </w:t>
      </w:r>
      <w:r w:rsidRPr="00E61B72">
        <w:rPr>
          <w:rFonts w:cstheme="minorHAnsi"/>
          <w:lang w:val="en-US"/>
        </w:rPr>
        <w:t xml:space="preserve">had lodged in his throat and caused a blockage of his airway, leading to his death by acute upper airways obstruction. </w:t>
      </w:r>
      <w:r w:rsidR="00125CAD">
        <w:rPr>
          <w:rFonts w:cstheme="minorHAnsi"/>
          <w:lang w:val="en-US"/>
        </w:rPr>
        <w:t xml:space="preserve">Owing to its place in his airway, the package could only be removed by the paramedics using </w:t>
      </w:r>
      <w:proofErr w:type="spellStart"/>
      <w:r w:rsidR="00125CAD">
        <w:rPr>
          <w:rFonts w:cstheme="minorHAnsi"/>
          <w:lang w:val="en-US"/>
        </w:rPr>
        <w:t>magill</w:t>
      </w:r>
      <w:proofErr w:type="spellEnd"/>
      <w:r w:rsidR="00125CAD">
        <w:rPr>
          <w:rFonts w:cstheme="minorHAnsi"/>
          <w:lang w:val="en-US"/>
        </w:rPr>
        <w:t xml:space="preserve"> forceps</w:t>
      </w:r>
      <w:r w:rsidR="008A2A84">
        <w:rPr>
          <w:rFonts w:cstheme="minorHAnsi"/>
          <w:lang w:val="en-US"/>
        </w:rPr>
        <w:t>.</w:t>
      </w:r>
      <w:r w:rsidR="00125CAD">
        <w:rPr>
          <w:rFonts w:cstheme="minorHAnsi"/>
          <w:lang w:val="en-US"/>
        </w:rPr>
        <w:t xml:space="preserve"> </w:t>
      </w:r>
      <w:r w:rsidR="005E4C05" w:rsidRPr="00E61B72">
        <w:rPr>
          <w:rFonts w:cstheme="minorHAnsi"/>
          <w:lang w:val="en-US"/>
        </w:rPr>
        <w:t>The incident</w:t>
      </w:r>
      <w:r w:rsidR="00DB7BE4">
        <w:rPr>
          <w:rFonts w:cstheme="minorHAnsi"/>
          <w:lang w:val="en-US"/>
        </w:rPr>
        <w:t>, including the CPR and arrival of the paramedics,</w:t>
      </w:r>
      <w:r w:rsidR="005E4C05" w:rsidRPr="00E61B72">
        <w:rPr>
          <w:rFonts w:cstheme="minorHAnsi"/>
          <w:lang w:val="en-US"/>
        </w:rPr>
        <w:t xml:space="preserve"> was recorded on the police car’s dashcam and officer’s BWV</w:t>
      </w:r>
      <w:r w:rsidR="00DB7BE4">
        <w:rPr>
          <w:rFonts w:cstheme="minorHAnsi"/>
          <w:lang w:val="en-US"/>
        </w:rPr>
        <w:t xml:space="preserve">, </w:t>
      </w:r>
      <w:r w:rsidR="005E4C05" w:rsidRPr="00E61B72">
        <w:rPr>
          <w:rFonts w:cstheme="minorHAnsi"/>
          <w:lang w:val="en-US"/>
        </w:rPr>
        <w:t xml:space="preserve">this evidence was played to the jury.  </w:t>
      </w:r>
    </w:p>
    <w:p w14:paraId="5BDE48F7" w14:textId="77777777" w:rsidR="00E67D30" w:rsidRPr="00E61B72" w:rsidRDefault="00E67D30" w:rsidP="00E67D30">
      <w:pPr>
        <w:spacing w:after="0" w:line="360" w:lineRule="auto"/>
        <w:jc w:val="both"/>
        <w:rPr>
          <w:rFonts w:cstheme="minorHAnsi"/>
          <w:lang w:val="en-US"/>
        </w:rPr>
      </w:pPr>
    </w:p>
    <w:p w14:paraId="79A20890" w14:textId="77777777" w:rsidR="00C20540" w:rsidRDefault="00512A48" w:rsidP="00E67D30">
      <w:pPr>
        <w:spacing w:after="0" w:line="360" w:lineRule="auto"/>
        <w:jc w:val="both"/>
        <w:rPr>
          <w:rFonts w:cstheme="minorHAnsi"/>
          <w:lang w:val="en-US"/>
        </w:rPr>
      </w:pPr>
      <w:r>
        <w:rPr>
          <w:rFonts w:cstheme="minorHAnsi"/>
          <w:lang w:val="en-US"/>
        </w:rPr>
        <w:t xml:space="preserve">The Defendant Coroner had deferred the decision of the engagement of Article 2 until after the evidence had been heard. </w:t>
      </w:r>
      <w:r w:rsidR="00610736" w:rsidRPr="00E61B72">
        <w:rPr>
          <w:rFonts w:cstheme="minorHAnsi"/>
          <w:lang w:val="en-US"/>
        </w:rPr>
        <w:t xml:space="preserve">After hearing evidence over the course of four days, the </w:t>
      </w:r>
      <w:r w:rsidR="00C20540" w:rsidRPr="00E61B72">
        <w:rPr>
          <w:rFonts w:cstheme="minorHAnsi"/>
          <w:lang w:val="en-US"/>
        </w:rPr>
        <w:t xml:space="preserve">Defendant Coroner received submissions </w:t>
      </w:r>
      <w:r w:rsidR="004E3DBC">
        <w:rPr>
          <w:rFonts w:cstheme="minorHAnsi"/>
          <w:lang w:val="en-US"/>
        </w:rPr>
        <w:t xml:space="preserve">on day five. The </w:t>
      </w:r>
      <w:r w:rsidR="00C20540" w:rsidRPr="00E61B72">
        <w:rPr>
          <w:rFonts w:cstheme="minorHAnsi"/>
          <w:lang w:val="en-US"/>
        </w:rPr>
        <w:t xml:space="preserve">family </w:t>
      </w:r>
      <w:r w:rsidR="004E3DBC">
        <w:rPr>
          <w:rFonts w:cstheme="minorHAnsi"/>
          <w:lang w:val="en-US"/>
        </w:rPr>
        <w:t xml:space="preserve">sought </w:t>
      </w:r>
      <w:r w:rsidR="00C20540" w:rsidRPr="00E61B72">
        <w:rPr>
          <w:rFonts w:cstheme="minorHAnsi"/>
          <w:lang w:val="en-US"/>
        </w:rPr>
        <w:t xml:space="preserve">to engage Article 2, and to leave the conclusion of unlawful killing to the jury and also to leave them neglect. The Defendant Coroner </w:t>
      </w:r>
      <w:r w:rsidR="004E3DBC">
        <w:rPr>
          <w:rFonts w:cstheme="minorHAnsi"/>
          <w:lang w:val="en-US"/>
        </w:rPr>
        <w:t>left the conclusions of misadventure and a n</w:t>
      </w:r>
      <w:r w:rsidR="00C20540" w:rsidRPr="00E61B72">
        <w:rPr>
          <w:rFonts w:cstheme="minorHAnsi"/>
          <w:lang w:val="en-US"/>
        </w:rPr>
        <w:t>arrative to the jury</w:t>
      </w:r>
      <w:r w:rsidR="00AC42DE" w:rsidRPr="00E61B72">
        <w:rPr>
          <w:rFonts w:cstheme="minorHAnsi"/>
          <w:lang w:val="en-US"/>
        </w:rPr>
        <w:t>,</w:t>
      </w:r>
      <w:r w:rsidR="00C20540" w:rsidRPr="00E61B72">
        <w:rPr>
          <w:rFonts w:cstheme="minorHAnsi"/>
          <w:lang w:val="en-US"/>
        </w:rPr>
        <w:t xml:space="preserve"> and declined to engage Article 2. Having heard the evidence, the Defendant Coroner also wrote a Letter of Concern to the </w:t>
      </w:r>
      <w:r w:rsidR="002E329B">
        <w:rPr>
          <w:rFonts w:cstheme="minorHAnsi"/>
          <w:lang w:val="en-US"/>
        </w:rPr>
        <w:t xml:space="preserve">National </w:t>
      </w:r>
      <w:r w:rsidR="00C20540" w:rsidRPr="00E61B72">
        <w:rPr>
          <w:rFonts w:cstheme="minorHAnsi"/>
          <w:lang w:val="en-US"/>
        </w:rPr>
        <w:t xml:space="preserve">College of Policing to address issues around </w:t>
      </w:r>
      <w:r w:rsidR="00FF0E4F">
        <w:rPr>
          <w:rFonts w:cstheme="minorHAnsi"/>
          <w:lang w:val="en-US"/>
        </w:rPr>
        <w:t xml:space="preserve">the </w:t>
      </w:r>
      <w:r w:rsidR="00C20540" w:rsidRPr="00E61B72">
        <w:rPr>
          <w:rFonts w:cstheme="minorHAnsi"/>
          <w:lang w:val="en-US"/>
        </w:rPr>
        <w:t xml:space="preserve">training of officers </w:t>
      </w:r>
      <w:r w:rsidR="00DF3FE4">
        <w:rPr>
          <w:rFonts w:cstheme="minorHAnsi"/>
          <w:lang w:val="en-US"/>
        </w:rPr>
        <w:t xml:space="preserve">around the </w:t>
      </w:r>
      <w:r w:rsidR="00DF3FE4">
        <w:t>removal of drug packages and subsequent management</w:t>
      </w:r>
      <w:r w:rsidR="003C1237" w:rsidRPr="00E61B72">
        <w:rPr>
          <w:rFonts w:cstheme="minorHAnsi"/>
          <w:lang w:val="en-US"/>
        </w:rPr>
        <w:t xml:space="preserve">. </w:t>
      </w:r>
    </w:p>
    <w:p w14:paraId="582F7E89" w14:textId="77777777" w:rsidR="004E3DBC" w:rsidRDefault="004E3DBC" w:rsidP="00E67D30">
      <w:pPr>
        <w:spacing w:after="0" w:line="360" w:lineRule="auto"/>
        <w:jc w:val="both"/>
        <w:rPr>
          <w:rFonts w:cstheme="minorHAnsi"/>
          <w:lang w:val="en-US"/>
        </w:rPr>
      </w:pPr>
    </w:p>
    <w:p w14:paraId="31164222" w14:textId="77777777" w:rsidR="004E3DBC" w:rsidRPr="00E61B72" w:rsidRDefault="004E3DBC" w:rsidP="00E67D30">
      <w:pPr>
        <w:spacing w:after="0" w:line="360" w:lineRule="auto"/>
        <w:jc w:val="both"/>
        <w:rPr>
          <w:rFonts w:cstheme="minorHAnsi"/>
          <w:lang w:val="en-US"/>
        </w:rPr>
      </w:pPr>
      <w:r>
        <w:rPr>
          <w:rFonts w:cstheme="minorHAnsi"/>
          <w:lang w:val="en-US"/>
        </w:rPr>
        <w:t xml:space="preserve">The jury returned a short form conclusion of misadventure. </w:t>
      </w:r>
    </w:p>
    <w:p w14:paraId="3DF3EF90" w14:textId="77777777" w:rsidR="00C20540" w:rsidRPr="00E61B72" w:rsidRDefault="00C20540" w:rsidP="00E67D30">
      <w:pPr>
        <w:spacing w:after="0" w:line="360" w:lineRule="auto"/>
        <w:jc w:val="both"/>
        <w:rPr>
          <w:rFonts w:cstheme="minorHAnsi"/>
          <w:lang w:val="en-US"/>
        </w:rPr>
      </w:pPr>
    </w:p>
    <w:p w14:paraId="523A3FA7" w14:textId="77777777" w:rsidR="00E67D30" w:rsidRPr="00E61B72" w:rsidRDefault="00C20540" w:rsidP="00E67D30">
      <w:pPr>
        <w:spacing w:after="0" w:line="360" w:lineRule="auto"/>
        <w:jc w:val="both"/>
        <w:rPr>
          <w:rFonts w:cstheme="minorHAnsi"/>
          <w:lang w:val="en-US"/>
        </w:rPr>
      </w:pPr>
      <w:r w:rsidRPr="00E61B72">
        <w:rPr>
          <w:rFonts w:cstheme="minorHAnsi"/>
          <w:lang w:val="en-US"/>
        </w:rPr>
        <w:t xml:space="preserve">The family applied to judicially </w:t>
      </w:r>
      <w:r w:rsidR="00B82C56" w:rsidRPr="00E61B72">
        <w:rPr>
          <w:rFonts w:cstheme="minorHAnsi"/>
          <w:lang w:val="en-US"/>
        </w:rPr>
        <w:t>review the decision not to engage Article 2, to write a Letter of Concern instead of a PFD</w:t>
      </w:r>
      <w:r w:rsidR="00B11571" w:rsidRPr="00E61B72">
        <w:rPr>
          <w:rFonts w:cstheme="minorHAnsi"/>
          <w:lang w:val="en-US"/>
        </w:rPr>
        <w:t xml:space="preserve">, it was </w:t>
      </w:r>
      <w:r w:rsidR="00B82C56" w:rsidRPr="00E61B72">
        <w:rPr>
          <w:rFonts w:cstheme="minorHAnsi"/>
          <w:lang w:val="en-US"/>
        </w:rPr>
        <w:t xml:space="preserve">also alleged that the summing up to the jury had been inadequate. </w:t>
      </w:r>
    </w:p>
    <w:p w14:paraId="1FA8C96E" w14:textId="77777777" w:rsidR="00B61A17" w:rsidRPr="00E61B72" w:rsidRDefault="00B61A17" w:rsidP="00E67D30">
      <w:pPr>
        <w:spacing w:after="0" w:line="360" w:lineRule="auto"/>
        <w:jc w:val="both"/>
        <w:rPr>
          <w:rFonts w:cstheme="minorHAnsi"/>
          <w:lang w:val="en-US"/>
        </w:rPr>
      </w:pPr>
    </w:p>
    <w:p w14:paraId="294439AF" w14:textId="77777777" w:rsidR="00B61A17" w:rsidRPr="00E61B72" w:rsidRDefault="00B61A17" w:rsidP="00E67D30">
      <w:pPr>
        <w:spacing w:after="0" w:line="360" w:lineRule="auto"/>
        <w:jc w:val="both"/>
        <w:rPr>
          <w:rFonts w:cstheme="minorHAnsi"/>
          <w:lang w:val="en-US"/>
        </w:rPr>
      </w:pPr>
      <w:r w:rsidRPr="00E61B72">
        <w:rPr>
          <w:rFonts w:cstheme="minorHAnsi"/>
          <w:lang w:val="en-US"/>
        </w:rPr>
        <w:lastRenderedPageBreak/>
        <w:t xml:space="preserve">The claim for judicial review was dismissed by the High Court </w:t>
      </w:r>
      <w:r w:rsidR="005F01B3" w:rsidRPr="00E61B72">
        <w:rPr>
          <w:rFonts w:cstheme="minorHAnsi"/>
          <w:lang w:val="en-US"/>
        </w:rPr>
        <w:t xml:space="preserve">and the Defendant Coroner’s approach </w:t>
      </w:r>
      <w:r w:rsidR="00357061" w:rsidRPr="00E61B72">
        <w:rPr>
          <w:rFonts w:cstheme="minorHAnsi"/>
          <w:lang w:val="en-US"/>
        </w:rPr>
        <w:t>up</w:t>
      </w:r>
      <w:r w:rsidR="005F01B3" w:rsidRPr="00E61B72">
        <w:rPr>
          <w:rFonts w:cstheme="minorHAnsi"/>
          <w:lang w:val="en-US"/>
        </w:rPr>
        <w:t xml:space="preserve">held. </w:t>
      </w:r>
    </w:p>
    <w:p w14:paraId="3965B54F" w14:textId="77777777" w:rsidR="003E397C" w:rsidRDefault="003E397C" w:rsidP="00E67D30">
      <w:pPr>
        <w:spacing w:after="0" w:line="360" w:lineRule="auto"/>
        <w:jc w:val="both"/>
        <w:rPr>
          <w:rFonts w:cstheme="minorHAnsi"/>
          <w:b/>
          <w:u w:val="single"/>
          <w:lang w:val="en-US"/>
        </w:rPr>
      </w:pPr>
    </w:p>
    <w:p w14:paraId="0DE95D29" w14:textId="77777777" w:rsidR="000216B8" w:rsidRPr="00E61B72" w:rsidRDefault="00CF67F9" w:rsidP="00944027">
      <w:pPr>
        <w:spacing w:after="0" w:line="360" w:lineRule="auto"/>
        <w:jc w:val="both"/>
        <w:rPr>
          <w:rFonts w:cstheme="minorHAnsi"/>
          <w:b/>
          <w:u w:val="single"/>
          <w:lang w:val="en-US"/>
        </w:rPr>
      </w:pPr>
      <w:r w:rsidRPr="00E61B72">
        <w:rPr>
          <w:rFonts w:cstheme="minorHAnsi"/>
          <w:b/>
          <w:u w:val="single"/>
          <w:lang w:val="en-US"/>
        </w:rPr>
        <w:t xml:space="preserve">Article 2 </w:t>
      </w:r>
    </w:p>
    <w:p w14:paraId="4CA7AFFB" w14:textId="77777777" w:rsidR="000312F7" w:rsidRPr="00E61B72" w:rsidRDefault="000216B8" w:rsidP="00944027">
      <w:pPr>
        <w:pStyle w:val="ParaLevel1"/>
        <w:numPr>
          <w:ilvl w:val="0"/>
          <w:numId w:val="0"/>
        </w:numPr>
        <w:spacing w:before="0" w:after="0" w:line="360" w:lineRule="auto"/>
        <w:rPr>
          <w:rFonts w:asciiTheme="minorHAnsi" w:hAnsiTheme="minorHAnsi" w:cstheme="minorHAnsi"/>
          <w:sz w:val="22"/>
          <w:szCs w:val="22"/>
          <w:lang w:val="en-US"/>
        </w:rPr>
      </w:pPr>
      <w:r w:rsidRPr="00944027">
        <w:rPr>
          <w:rFonts w:asciiTheme="minorHAnsi" w:hAnsiTheme="minorHAnsi" w:cstheme="minorHAnsi"/>
          <w:sz w:val="22"/>
          <w:szCs w:val="22"/>
          <w:lang w:val="en-US"/>
        </w:rPr>
        <w:t xml:space="preserve">It was argued that the engagement of Article 2 was compulsory as the case fell within the category of cases which necessarily gave rise to legitimate grounds to suspect state responsibility in the form of a breach of one of the state’s substantive </w:t>
      </w:r>
      <w:r w:rsidR="004972C3" w:rsidRPr="00944027">
        <w:rPr>
          <w:rFonts w:asciiTheme="minorHAnsi" w:hAnsiTheme="minorHAnsi" w:cstheme="minorHAnsi"/>
          <w:sz w:val="22"/>
          <w:szCs w:val="22"/>
          <w:lang w:val="en-US"/>
        </w:rPr>
        <w:t>Article</w:t>
      </w:r>
      <w:r w:rsidRPr="00944027">
        <w:rPr>
          <w:rFonts w:asciiTheme="minorHAnsi" w:hAnsiTheme="minorHAnsi" w:cstheme="minorHAnsi"/>
          <w:sz w:val="22"/>
          <w:szCs w:val="22"/>
          <w:lang w:val="en-US"/>
        </w:rPr>
        <w:t xml:space="preserve"> 2 duties. </w:t>
      </w:r>
      <w:r w:rsidR="000312F7" w:rsidRPr="00944027">
        <w:rPr>
          <w:rFonts w:asciiTheme="minorHAnsi" w:hAnsiTheme="minorHAnsi" w:cstheme="minorHAnsi"/>
          <w:sz w:val="22"/>
          <w:szCs w:val="22"/>
          <w:lang w:val="en-US"/>
        </w:rPr>
        <w:t xml:space="preserve">The Applicant submitted that </w:t>
      </w:r>
      <w:r w:rsidR="00944027" w:rsidRPr="00944027">
        <w:rPr>
          <w:rFonts w:asciiTheme="minorHAnsi" w:hAnsiTheme="minorHAnsi" w:cstheme="minorHAnsi"/>
          <w:sz w:val="22"/>
          <w:szCs w:val="22"/>
        </w:rPr>
        <w:t>the categories in which the state’s procedural article 2 obligation arises automatically</w:t>
      </w:r>
      <w:r w:rsidR="007438BB">
        <w:rPr>
          <w:rFonts w:asciiTheme="minorHAnsi" w:hAnsiTheme="minorHAnsi" w:cstheme="minorHAnsi"/>
          <w:sz w:val="22"/>
          <w:szCs w:val="22"/>
        </w:rPr>
        <w:t>,</w:t>
      </w:r>
      <w:r w:rsidR="00944027" w:rsidRPr="00944027">
        <w:rPr>
          <w:rFonts w:asciiTheme="minorHAnsi" w:hAnsiTheme="minorHAnsi" w:cstheme="minorHAnsi"/>
          <w:sz w:val="22"/>
          <w:szCs w:val="22"/>
        </w:rPr>
        <w:t xml:space="preserve"> </w:t>
      </w:r>
      <w:r w:rsidR="007D7443">
        <w:rPr>
          <w:rFonts w:asciiTheme="minorHAnsi" w:hAnsiTheme="minorHAnsi" w:cstheme="minorHAnsi"/>
          <w:sz w:val="22"/>
          <w:szCs w:val="22"/>
        </w:rPr>
        <w:t>cannot be considered as closed</w:t>
      </w:r>
      <w:r w:rsidR="00944027" w:rsidRPr="00944027">
        <w:rPr>
          <w:rFonts w:asciiTheme="minorHAnsi" w:hAnsiTheme="minorHAnsi" w:cstheme="minorHAnsi"/>
          <w:sz w:val="22"/>
          <w:szCs w:val="22"/>
        </w:rPr>
        <w:t>.</w:t>
      </w:r>
      <w:r w:rsidR="00944027">
        <w:rPr>
          <w:rFonts w:asciiTheme="minorHAnsi" w:hAnsiTheme="minorHAnsi" w:cstheme="minorHAnsi"/>
          <w:sz w:val="22"/>
          <w:szCs w:val="22"/>
        </w:rPr>
        <w:t xml:space="preserve"> </w:t>
      </w:r>
      <w:r w:rsidR="00944027">
        <w:rPr>
          <w:rFonts w:asciiTheme="minorHAnsi" w:hAnsiTheme="minorHAnsi" w:cstheme="minorHAnsi"/>
          <w:sz w:val="22"/>
          <w:szCs w:val="22"/>
          <w:lang w:val="en-US"/>
        </w:rPr>
        <w:t>T</w:t>
      </w:r>
      <w:r w:rsidR="000312F7" w:rsidRPr="00E61B72">
        <w:rPr>
          <w:rFonts w:asciiTheme="minorHAnsi" w:hAnsiTheme="minorHAnsi" w:cstheme="minorHAnsi"/>
          <w:sz w:val="22"/>
          <w:szCs w:val="22"/>
          <w:lang w:val="en-US"/>
        </w:rPr>
        <w:t>he</w:t>
      </w:r>
      <w:r w:rsidR="005F665F">
        <w:rPr>
          <w:rFonts w:asciiTheme="minorHAnsi" w:hAnsiTheme="minorHAnsi" w:cstheme="minorHAnsi"/>
          <w:sz w:val="22"/>
          <w:szCs w:val="22"/>
          <w:lang w:val="en-US"/>
        </w:rPr>
        <w:t xml:space="preserve"> categories should include</w:t>
      </w:r>
      <w:r w:rsidR="000312F7" w:rsidRPr="00E61B72">
        <w:rPr>
          <w:rFonts w:asciiTheme="minorHAnsi" w:hAnsiTheme="minorHAnsi" w:cstheme="minorHAnsi"/>
          <w:sz w:val="22"/>
          <w:szCs w:val="22"/>
        </w:rPr>
        <w:t>:</w:t>
      </w:r>
    </w:p>
    <w:p w14:paraId="581711F7" w14:textId="77777777" w:rsidR="000312F7" w:rsidRPr="00E61B72" w:rsidRDefault="000312F7" w:rsidP="00275EE1">
      <w:pPr>
        <w:pStyle w:val="ParaLevel1"/>
        <w:numPr>
          <w:ilvl w:val="0"/>
          <w:numId w:val="2"/>
        </w:numPr>
        <w:spacing w:before="0" w:after="0" w:line="360" w:lineRule="auto"/>
        <w:rPr>
          <w:rFonts w:asciiTheme="minorHAnsi" w:hAnsiTheme="minorHAnsi" w:cstheme="minorHAnsi"/>
          <w:sz w:val="22"/>
          <w:szCs w:val="22"/>
        </w:rPr>
      </w:pPr>
      <w:r w:rsidRPr="00E61B72">
        <w:rPr>
          <w:rFonts w:asciiTheme="minorHAnsi" w:hAnsiTheme="minorHAnsi" w:cstheme="minorHAnsi"/>
          <w:sz w:val="22"/>
          <w:szCs w:val="22"/>
        </w:rPr>
        <w:t>unnatural death occurring while in the involuntary (whether lawful or unlawful) custody or control of the state;</w:t>
      </w:r>
    </w:p>
    <w:p w14:paraId="08190C26" w14:textId="77777777" w:rsidR="000312F7" w:rsidRPr="00E61B72" w:rsidRDefault="000312F7" w:rsidP="00275EE1">
      <w:pPr>
        <w:pStyle w:val="ParaLevel1"/>
        <w:numPr>
          <w:ilvl w:val="0"/>
          <w:numId w:val="2"/>
        </w:numPr>
        <w:spacing w:before="0" w:after="0" w:line="360" w:lineRule="auto"/>
        <w:rPr>
          <w:rFonts w:asciiTheme="minorHAnsi" w:hAnsiTheme="minorHAnsi" w:cstheme="minorHAnsi"/>
          <w:sz w:val="22"/>
          <w:szCs w:val="22"/>
        </w:rPr>
      </w:pPr>
      <w:r w:rsidRPr="00E61B72">
        <w:rPr>
          <w:rFonts w:asciiTheme="minorHAnsi" w:hAnsiTheme="minorHAnsi" w:cstheme="minorHAnsi"/>
          <w:sz w:val="22"/>
          <w:szCs w:val="22"/>
        </w:rPr>
        <w:t>unnatural death occurring while in the involuntary custody or control of the police following the deceased committing an intentional act liable to cause himself harm;</w:t>
      </w:r>
    </w:p>
    <w:p w14:paraId="43F3B1FF" w14:textId="77777777" w:rsidR="000312F7" w:rsidRPr="00E61B72" w:rsidRDefault="000312F7" w:rsidP="00275EE1">
      <w:pPr>
        <w:pStyle w:val="ParaLevel1"/>
        <w:numPr>
          <w:ilvl w:val="0"/>
          <w:numId w:val="2"/>
        </w:numPr>
        <w:spacing w:before="0" w:after="0" w:line="360" w:lineRule="auto"/>
        <w:rPr>
          <w:rFonts w:asciiTheme="minorHAnsi" w:hAnsiTheme="minorHAnsi" w:cstheme="minorHAnsi"/>
          <w:sz w:val="22"/>
          <w:szCs w:val="22"/>
        </w:rPr>
      </w:pPr>
      <w:r w:rsidRPr="00E61B72">
        <w:rPr>
          <w:rFonts w:asciiTheme="minorHAnsi" w:hAnsiTheme="minorHAnsi" w:cstheme="minorHAnsi"/>
          <w:sz w:val="22"/>
          <w:szCs w:val="22"/>
        </w:rPr>
        <w:t>unnatural death occurring while in the involuntary custody or control or the police at a time when the arresting or detaining officers are aware that the person has swallowed a package that consequently poses a risk to life;</w:t>
      </w:r>
    </w:p>
    <w:p w14:paraId="77005335" w14:textId="77777777" w:rsidR="000312F7" w:rsidRPr="00E61B72" w:rsidRDefault="000312F7" w:rsidP="00275EE1">
      <w:pPr>
        <w:pStyle w:val="ParaLevel1"/>
        <w:numPr>
          <w:ilvl w:val="0"/>
          <w:numId w:val="2"/>
        </w:numPr>
        <w:spacing w:before="0" w:after="0" w:line="360" w:lineRule="auto"/>
        <w:rPr>
          <w:rFonts w:asciiTheme="minorHAnsi" w:hAnsiTheme="minorHAnsi" w:cstheme="minorHAnsi"/>
          <w:sz w:val="22"/>
          <w:szCs w:val="22"/>
        </w:rPr>
      </w:pPr>
      <w:r w:rsidRPr="00E61B72">
        <w:rPr>
          <w:rFonts w:asciiTheme="minorHAnsi" w:hAnsiTheme="minorHAnsi" w:cstheme="minorHAnsi"/>
          <w:sz w:val="22"/>
          <w:szCs w:val="22"/>
        </w:rPr>
        <w:t>death in police custody or control after the deceased entered a physical or mental state needing medical emergency care, of which the police were or should have been aware; and</w:t>
      </w:r>
    </w:p>
    <w:p w14:paraId="628514B5" w14:textId="77777777" w:rsidR="000312F7" w:rsidRPr="00E61B72" w:rsidRDefault="000312F7" w:rsidP="00275EE1">
      <w:pPr>
        <w:pStyle w:val="ParaLevel1"/>
        <w:numPr>
          <w:ilvl w:val="0"/>
          <w:numId w:val="2"/>
        </w:numPr>
        <w:spacing w:before="0" w:after="0" w:line="360" w:lineRule="auto"/>
        <w:rPr>
          <w:rFonts w:asciiTheme="minorHAnsi" w:hAnsiTheme="minorHAnsi" w:cstheme="minorHAnsi"/>
          <w:sz w:val="22"/>
          <w:szCs w:val="22"/>
        </w:rPr>
      </w:pPr>
      <w:r w:rsidRPr="00E61B72">
        <w:rPr>
          <w:rFonts w:asciiTheme="minorHAnsi" w:hAnsiTheme="minorHAnsi" w:cstheme="minorHAnsi"/>
          <w:sz w:val="22"/>
          <w:szCs w:val="22"/>
        </w:rPr>
        <w:t xml:space="preserve">death occurring after the use of force by police officers to effect or </w:t>
      </w:r>
      <w:proofErr w:type="gramStart"/>
      <w:r w:rsidRPr="00E61B72">
        <w:rPr>
          <w:rFonts w:asciiTheme="minorHAnsi" w:hAnsiTheme="minorHAnsi" w:cstheme="minorHAnsi"/>
          <w:sz w:val="22"/>
          <w:szCs w:val="22"/>
        </w:rPr>
        <w:t>in the course of</w:t>
      </w:r>
      <w:proofErr w:type="gramEnd"/>
      <w:r w:rsidRPr="00E61B72">
        <w:rPr>
          <w:rFonts w:asciiTheme="minorHAnsi" w:hAnsiTheme="minorHAnsi" w:cstheme="minorHAnsi"/>
          <w:sz w:val="22"/>
          <w:szCs w:val="22"/>
        </w:rPr>
        <w:t xml:space="preserve"> an arrest or physical control.</w:t>
      </w:r>
    </w:p>
    <w:p w14:paraId="267858B8" w14:textId="77777777" w:rsidR="000312F7" w:rsidRPr="00E61B72" w:rsidRDefault="000312F7" w:rsidP="00275EE1">
      <w:pPr>
        <w:spacing w:after="0" w:line="360" w:lineRule="auto"/>
        <w:jc w:val="both"/>
        <w:rPr>
          <w:rFonts w:cstheme="minorHAnsi"/>
          <w:lang w:val="en-US"/>
        </w:rPr>
      </w:pPr>
    </w:p>
    <w:p w14:paraId="71F05312" w14:textId="77777777" w:rsidR="00275EE1" w:rsidRPr="00E61B72" w:rsidRDefault="00EE35BA" w:rsidP="00275EE1">
      <w:pPr>
        <w:pStyle w:val="ParaLevel1"/>
        <w:numPr>
          <w:ilvl w:val="0"/>
          <w:numId w:val="0"/>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It was further submitted that, </w:t>
      </w:r>
      <w:r w:rsidR="00275EE1" w:rsidRPr="00E61B72">
        <w:rPr>
          <w:rFonts w:asciiTheme="minorHAnsi" w:hAnsiTheme="minorHAnsi" w:cstheme="minorHAnsi"/>
          <w:sz w:val="22"/>
          <w:szCs w:val="22"/>
        </w:rPr>
        <w:t>on the facts</w:t>
      </w:r>
      <w:r>
        <w:rPr>
          <w:rFonts w:asciiTheme="minorHAnsi" w:hAnsiTheme="minorHAnsi" w:cstheme="minorHAnsi"/>
          <w:sz w:val="22"/>
          <w:szCs w:val="22"/>
        </w:rPr>
        <w:t>,</w:t>
      </w:r>
      <w:r w:rsidR="00275EE1" w:rsidRPr="00E61B72">
        <w:rPr>
          <w:rFonts w:asciiTheme="minorHAnsi" w:hAnsiTheme="minorHAnsi" w:cstheme="minorHAnsi"/>
          <w:sz w:val="22"/>
          <w:szCs w:val="22"/>
        </w:rPr>
        <w:t xml:space="preserve"> </w:t>
      </w:r>
      <w:r>
        <w:rPr>
          <w:rFonts w:asciiTheme="minorHAnsi" w:hAnsiTheme="minorHAnsi" w:cstheme="minorHAnsi"/>
          <w:sz w:val="22"/>
          <w:szCs w:val="22"/>
        </w:rPr>
        <w:t>t</w:t>
      </w:r>
      <w:r w:rsidR="00275EE1" w:rsidRPr="00E61B72">
        <w:rPr>
          <w:rFonts w:asciiTheme="minorHAnsi" w:hAnsiTheme="minorHAnsi" w:cstheme="minorHAnsi"/>
          <w:sz w:val="22"/>
          <w:szCs w:val="22"/>
        </w:rPr>
        <w:t>here was clearly an arguable breach by state agents of the positive operational duty under article 2 to protect life.  The operational duty arose because the police officers knew or ought to have known that there was a real and immediate</w:t>
      </w:r>
      <w:r w:rsidR="00521C7D">
        <w:rPr>
          <w:rFonts w:asciiTheme="minorHAnsi" w:hAnsiTheme="minorHAnsi" w:cstheme="minorHAnsi"/>
          <w:sz w:val="22"/>
          <w:szCs w:val="22"/>
        </w:rPr>
        <w:t xml:space="preserve"> r</w:t>
      </w:r>
      <w:r w:rsidR="00275EE1" w:rsidRPr="00E61B72">
        <w:rPr>
          <w:rFonts w:asciiTheme="minorHAnsi" w:hAnsiTheme="minorHAnsi" w:cstheme="minorHAnsi"/>
          <w:sz w:val="22"/>
          <w:szCs w:val="22"/>
        </w:rPr>
        <w:t>isk to Mr Robinson’s life.</w:t>
      </w:r>
    </w:p>
    <w:p w14:paraId="2BAFDDA4" w14:textId="77777777" w:rsidR="00275EE1" w:rsidRPr="00E61B72" w:rsidRDefault="00275EE1" w:rsidP="00275EE1">
      <w:pPr>
        <w:spacing w:after="0" w:line="360" w:lineRule="auto"/>
        <w:jc w:val="both"/>
        <w:rPr>
          <w:rFonts w:cstheme="minorHAnsi"/>
          <w:lang w:val="en-US"/>
        </w:rPr>
      </w:pPr>
    </w:p>
    <w:p w14:paraId="14D6990C" w14:textId="77777777" w:rsidR="00275EE1" w:rsidRPr="00E61B72" w:rsidRDefault="00D92F3D" w:rsidP="00275EE1">
      <w:pPr>
        <w:spacing w:after="0" w:line="360" w:lineRule="auto"/>
        <w:jc w:val="both"/>
        <w:rPr>
          <w:rFonts w:cstheme="minorHAnsi"/>
        </w:rPr>
      </w:pPr>
      <w:r w:rsidRPr="00E61B72">
        <w:rPr>
          <w:rFonts w:cstheme="minorHAnsi"/>
          <w:lang w:val="en-US"/>
        </w:rPr>
        <w:t xml:space="preserve">The Court found no </w:t>
      </w:r>
      <w:r w:rsidRPr="00E61B72">
        <w:rPr>
          <w:rFonts w:cstheme="minorHAnsi"/>
        </w:rPr>
        <w:t>good reason to extend the existi</w:t>
      </w:r>
      <w:r w:rsidR="00D6528A">
        <w:rPr>
          <w:rFonts w:cstheme="minorHAnsi"/>
        </w:rPr>
        <w:t>ng categories of case in which A</w:t>
      </w:r>
      <w:r w:rsidRPr="00E61B72">
        <w:rPr>
          <w:rFonts w:cstheme="minorHAnsi"/>
        </w:rPr>
        <w:t xml:space="preserve">rticle 2 applies automatically.  The circumstances of the death must be such that “they fall into a category which necessarily gives rise, in every case falling within the category, to a legitimate ground to suspect state responsibility by way of breach of a substantive article 2 obligation” (Popplewell LJ in </w:t>
      </w:r>
      <w:r w:rsidRPr="00E61B72">
        <w:rPr>
          <w:rFonts w:cstheme="minorHAnsi"/>
          <w:i/>
          <w:iCs/>
        </w:rPr>
        <w:t>Morahan</w:t>
      </w:r>
      <w:r w:rsidRPr="00E61B72">
        <w:rPr>
          <w:rFonts w:cstheme="minorHAnsi"/>
        </w:rPr>
        <w:t xml:space="preserve"> at [122(7)]).</w:t>
      </w:r>
    </w:p>
    <w:p w14:paraId="07BA2B3E" w14:textId="77777777" w:rsidR="00B97742" w:rsidRPr="00E61B72" w:rsidRDefault="00B97742" w:rsidP="00275EE1">
      <w:pPr>
        <w:spacing w:after="0" w:line="360" w:lineRule="auto"/>
        <w:jc w:val="both"/>
        <w:rPr>
          <w:rFonts w:cstheme="minorHAnsi"/>
        </w:rPr>
      </w:pPr>
    </w:p>
    <w:p w14:paraId="0C19A0C0" w14:textId="77777777" w:rsidR="00B97742" w:rsidRPr="00E61B72" w:rsidRDefault="00B97742" w:rsidP="00275EE1">
      <w:pPr>
        <w:spacing w:after="0" w:line="360" w:lineRule="auto"/>
        <w:jc w:val="both"/>
        <w:rPr>
          <w:rFonts w:cstheme="minorHAnsi"/>
        </w:rPr>
      </w:pPr>
      <w:r w:rsidRPr="00E61B72">
        <w:rPr>
          <w:rFonts w:cstheme="minorHAnsi"/>
        </w:rPr>
        <w:t>The court concluded</w:t>
      </w:r>
      <w:r w:rsidR="00961CD9">
        <w:rPr>
          <w:rFonts w:cstheme="minorHAnsi"/>
        </w:rPr>
        <w:t xml:space="preserve"> some of the criticisms of the police were </w:t>
      </w:r>
      <w:r w:rsidR="00F7767A">
        <w:rPr>
          <w:rFonts w:cstheme="minorHAnsi"/>
        </w:rPr>
        <w:t>far-fetched</w:t>
      </w:r>
      <w:r w:rsidR="00961CD9">
        <w:rPr>
          <w:rFonts w:cstheme="minorHAnsi"/>
        </w:rPr>
        <w:t>. T</w:t>
      </w:r>
      <w:r w:rsidR="009729EC">
        <w:t xml:space="preserve">he coroner was right to ask himself whether there was, on the evidence before him, an arguable breach of the positive </w:t>
      </w:r>
      <w:r w:rsidR="009729EC">
        <w:lastRenderedPageBreak/>
        <w:t xml:space="preserve">operational duty to protect Mr Robinson’s life and found no fault with this </w:t>
      </w:r>
      <w:r w:rsidR="007E5313">
        <w:t>a</w:t>
      </w:r>
      <w:r w:rsidR="009729EC">
        <w:t>pproach</w:t>
      </w:r>
      <w:r w:rsidR="007E5313">
        <w:t>, which was sound and the conclusions correct</w:t>
      </w:r>
      <w:r w:rsidR="009729EC">
        <w:t xml:space="preserve">. </w:t>
      </w:r>
      <w:r w:rsidR="00EC2DDE">
        <w:t xml:space="preserve">The challenge to the Article 2 decision therefore did not succeed. </w:t>
      </w:r>
    </w:p>
    <w:p w14:paraId="4E389434" w14:textId="77777777" w:rsidR="00CF67F9" w:rsidRPr="00E61B72" w:rsidRDefault="00CF67F9" w:rsidP="00275EE1">
      <w:pPr>
        <w:spacing w:after="0" w:line="360" w:lineRule="auto"/>
        <w:jc w:val="both"/>
        <w:rPr>
          <w:rFonts w:cstheme="minorHAnsi"/>
        </w:rPr>
      </w:pPr>
    </w:p>
    <w:p w14:paraId="6B9A8068" w14:textId="77777777" w:rsidR="00CF67F9" w:rsidRPr="00E61B72" w:rsidRDefault="000208C8" w:rsidP="00275EE1">
      <w:pPr>
        <w:spacing w:after="0" w:line="360" w:lineRule="auto"/>
        <w:jc w:val="both"/>
        <w:rPr>
          <w:rFonts w:cstheme="minorHAnsi"/>
          <w:b/>
          <w:u w:val="single"/>
        </w:rPr>
      </w:pPr>
      <w:r w:rsidRPr="00E61B72">
        <w:rPr>
          <w:rFonts w:cstheme="minorHAnsi"/>
          <w:b/>
          <w:u w:val="single"/>
        </w:rPr>
        <w:t xml:space="preserve">Summing Up </w:t>
      </w:r>
    </w:p>
    <w:p w14:paraId="213CF6BE" w14:textId="77777777" w:rsidR="00570FA5" w:rsidRPr="00E61B72" w:rsidRDefault="00696EF8" w:rsidP="00267383">
      <w:pPr>
        <w:pStyle w:val="ParaLevel1"/>
        <w:numPr>
          <w:ilvl w:val="0"/>
          <w:numId w:val="0"/>
        </w:numPr>
        <w:spacing w:before="0" w:after="0" w:line="360" w:lineRule="auto"/>
        <w:rPr>
          <w:rFonts w:asciiTheme="minorHAnsi" w:hAnsiTheme="minorHAnsi" w:cstheme="minorHAnsi"/>
          <w:sz w:val="22"/>
          <w:szCs w:val="22"/>
        </w:rPr>
      </w:pPr>
      <w:r w:rsidRPr="00E61B72">
        <w:rPr>
          <w:rFonts w:asciiTheme="minorHAnsi" w:hAnsiTheme="minorHAnsi" w:cstheme="minorHAnsi"/>
          <w:sz w:val="22"/>
          <w:szCs w:val="22"/>
          <w:lang w:val="en-US"/>
        </w:rPr>
        <w:t>Prior to handing down his summing up</w:t>
      </w:r>
      <w:r w:rsidR="006D3B82">
        <w:rPr>
          <w:rFonts w:asciiTheme="minorHAnsi" w:hAnsiTheme="minorHAnsi" w:cstheme="minorHAnsi"/>
          <w:sz w:val="22"/>
          <w:szCs w:val="22"/>
          <w:lang w:val="en-US"/>
        </w:rPr>
        <w:t xml:space="preserve"> and directions</w:t>
      </w:r>
      <w:r w:rsidR="00EA5575">
        <w:rPr>
          <w:rFonts w:asciiTheme="minorHAnsi" w:hAnsiTheme="minorHAnsi" w:cstheme="minorHAnsi"/>
          <w:sz w:val="22"/>
          <w:szCs w:val="22"/>
          <w:lang w:val="en-US"/>
        </w:rPr>
        <w:t>,</w:t>
      </w:r>
      <w:r w:rsidRPr="00E61B72">
        <w:rPr>
          <w:rFonts w:asciiTheme="minorHAnsi" w:hAnsiTheme="minorHAnsi" w:cstheme="minorHAnsi"/>
          <w:sz w:val="22"/>
          <w:szCs w:val="22"/>
          <w:lang w:val="en-US"/>
        </w:rPr>
        <w:t xml:space="preserve"> the Defendant Coroner</w:t>
      </w:r>
      <w:r w:rsidR="00267383" w:rsidRPr="00E61B72">
        <w:rPr>
          <w:rFonts w:asciiTheme="minorHAnsi" w:hAnsiTheme="minorHAnsi" w:cstheme="minorHAnsi"/>
          <w:sz w:val="22"/>
          <w:szCs w:val="22"/>
          <w:lang w:val="en-US"/>
        </w:rPr>
        <w:t xml:space="preserve"> had distributed a draft to the </w:t>
      </w:r>
      <w:r w:rsidRPr="00E61B72">
        <w:rPr>
          <w:rFonts w:asciiTheme="minorHAnsi" w:hAnsiTheme="minorHAnsi" w:cstheme="minorHAnsi"/>
          <w:sz w:val="22"/>
          <w:szCs w:val="22"/>
          <w:lang w:val="en-US"/>
        </w:rPr>
        <w:t>IP’</w:t>
      </w:r>
      <w:r w:rsidR="00267383" w:rsidRPr="00E61B72">
        <w:rPr>
          <w:rFonts w:asciiTheme="minorHAnsi" w:hAnsiTheme="minorHAnsi" w:cstheme="minorHAnsi"/>
          <w:sz w:val="22"/>
          <w:szCs w:val="22"/>
          <w:lang w:val="en-US"/>
        </w:rPr>
        <w:t xml:space="preserve">s at </w:t>
      </w:r>
      <w:r w:rsidRPr="00E61B72">
        <w:rPr>
          <w:rFonts w:asciiTheme="minorHAnsi" w:hAnsiTheme="minorHAnsi" w:cstheme="minorHAnsi"/>
          <w:sz w:val="22"/>
          <w:szCs w:val="22"/>
          <w:lang w:val="en-US"/>
        </w:rPr>
        <w:t xml:space="preserve">the inquest. </w:t>
      </w:r>
      <w:r w:rsidR="001659C8">
        <w:rPr>
          <w:rFonts w:asciiTheme="minorHAnsi" w:hAnsiTheme="minorHAnsi" w:cstheme="minorHAnsi"/>
          <w:sz w:val="22"/>
          <w:szCs w:val="22"/>
          <w:lang w:val="en-US"/>
        </w:rPr>
        <w:t>It was argued by the Applicant t</w:t>
      </w:r>
      <w:r w:rsidR="00570FA5" w:rsidRPr="00E61B72">
        <w:rPr>
          <w:rFonts w:asciiTheme="minorHAnsi" w:hAnsiTheme="minorHAnsi" w:cstheme="minorHAnsi"/>
          <w:sz w:val="22"/>
          <w:szCs w:val="22"/>
        </w:rPr>
        <w:t>hat</w:t>
      </w:r>
      <w:r w:rsidR="001659C8">
        <w:rPr>
          <w:rFonts w:asciiTheme="minorHAnsi" w:hAnsiTheme="minorHAnsi" w:cstheme="minorHAnsi"/>
          <w:sz w:val="22"/>
          <w:szCs w:val="22"/>
        </w:rPr>
        <w:t>,</w:t>
      </w:r>
      <w:r w:rsidR="00570FA5" w:rsidRPr="00E61B72">
        <w:rPr>
          <w:rFonts w:asciiTheme="minorHAnsi" w:hAnsiTheme="minorHAnsi" w:cstheme="minorHAnsi"/>
          <w:sz w:val="22"/>
          <w:szCs w:val="22"/>
        </w:rPr>
        <w:t xml:space="preserve"> even on the footing that an </w:t>
      </w:r>
      <w:r w:rsidR="003E7FB7">
        <w:rPr>
          <w:rFonts w:asciiTheme="minorHAnsi" w:hAnsiTheme="minorHAnsi" w:cstheme="minorHAnsi"/>
          <w:sz w:val="22"/>
          <w:szCs w:val="22"/>
        </w:rPr>
        <w:t>A</w:t>
      </w:r>
      <w:r w:rsidR="00570FA5" w:rsidRPr="00E61B72">
        <w:rPr>
          <w:rFonts w:asciiTheme="minorHAnsi" w:hAnsiTheme="minorHAnsi" w:cstheme="minorHAnsi"/>
          <w:sz w:val="22"/>
          <w:szCs w:val="22"/>
        </w:rPr>
        <w:t xml:space="preserve">rticle 2 inquest was not required, the </w:t>
      </w:r>
      <w:r w:rsidR="00121DA9">
        <w:rPr>
          <w:rFonts w:asciiTheme="minorHAnsi" w:hAnsiTheme="minorHAnsi" w:cstheme="minorHAnsi"/>
          <w:sz w:val="22"/>
          <w:szCs w:val="22"/>
        </w:rPr>
        <w:t>Defendant C</w:t>
      </w:r>
      <w:r w:rsidR="00570FA5" w:rsidRPr="00E61B72">
        <w:rPr>
          <w:rFonts w:asciiTheme="minorHAnsi" w:hAnsiTheme="minorHAnsi" w:cstheme="minorHAnsi"/>
          <w:sz w:val="22"/>
          <w:szCs w:val="22"/>
        </w:rPr>
        <w:t xml:space="preserve">oroner’s summing up was defective.  It did not seek out and record as many of the facts as the public interest requires.  </w:t>
      </w:r>
      <w:r w:rsidR="00121DA9">
        <w:rPr>
          <w:rFonts w:asciiTheme="minorHAnsi" w:hAnsiTheme="minorHAnsi" w:cstheme="minorHAnsi"/>
          <w:sz w:val="22"/>
          <w:szCs w:val="22"/>
        </w:rPr>
        <w:t>It was argued that t</w:t>
      </w:r>
      <w:r w:rsidR="00570FA5" w:rsidRPr="00E61B72">
        <w:rPr>
          <w:rFonts w:asciiTheme="minorHAnsi" w:hAnsiTheme="minorHAnsi" w:cstheme="minorHAnsi"/>
          <w:sz w:val="22"/>
          <w:szCs w:val="22"/>
        </w:rPr>
        <w:t>he family were “left without any answers to what is independently and judicially made (by the jury) of the police conduct seen on the video and evidenced in the inquest”.</w:t>
      </w:r>
    </w:p>
    <w:p w14:paraId="3AD28C26" w14:textId="77777777" w:rsidR="00267383" w:rsidRPr="00E61B72" w:rsidRDefault="00267383" w:rsidP="00267383">
      <w:pPr>
        <w:pStyle w:val="ParaLevel1"/>
        <w:numPr>
          <w:ilvl w:val="0"/>
          <w:numId w:val="0"/>
        </w:numPr>
        <w:spacing w:before="0" w:after="0" w:line="360" w:lineRule="auto"/>
        <w:rPr>
          <w:rFonts w:asciiTheme="minorHAnsi" w:hAnsiTheme="minorHAnsi" w:cstheme="minorHAnsi"/>
          <w:sz w:val="22"/>
          <w:szCs w:val="22"/>
        </w:rPr>
      </w:pPr>
    </w:p>
    <w:p w14:paraId="3A575F54" w14:textId="77777777" w:rsidR="00267383" w:rsidRPr="00E61B72" w:rsidRDefault="00121DA9" w:rsidP="00267383">
      <w:pPr>
        <w:pStyle w:val="ParaLevel1"/>
        <w:numPr>
          <w:ilvl w:val="0"/>
          <w:numId w:val="0"/>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The court did not find that </w:t>
      </w:r>
      <w:r w:rsidR="00267383" w:rsidRPr="00E61B72">
        <w:rPr>
          <w:rFonts w:asciiTheme="minorHAnsi" w:hAnsiTheme="minorHAnsi" w:cstheme="minorHAnsi"/>
          <w:sz w:val="22"/>
          <w:szCs w:val="22"/>
        </w:rPr>
        <w:t xml:space="preserve">there </w:t>
      </w:r>
      <w:r w:rsidR="00E41324">
        <w:rPr>
          <w:rFonts w:asciiTheme="minorHAnsi" w:hAnsiTheme="minorHAnsi" w:cstheme="minorHAnsi"/>
          <w:sz w:val="22"/>
          <w:szCs w:val="22"/>
        </w:rPr>
        <w:t>wa</w:t>
      </w:r>
      <w:r w:rsidR="00267383" w:rsidRPr="00E61B72">
        <w:rPr>
          <w:rFonts w:asciiTheme="minorHAnsi" w:hAnsiTheme="minorHAnsi" w:cstheme="minorHAnsi"/>
          <w:sz w:val="22"/>
          <w:szCs w:val="22"/>
        </w:rPr>
        <w:t>s much force in the criticisms of the summing up</w:t>
      </w:r>
      <w:r w:rsidR="00E41324">
        <w:rPr>
          <w:rFonts w:asciiTheme="minorHAnsi" w:hAnsiTheme="minorHAnsi" w:cstheme="minorHAnsi"/>
          <w:sz w:val="22"/>
          <w:szCs w:val="22"/>
        </w:rPr>
        <w:t xml:space="preserve"> and held it was adequate</w:t>
      </w:r>
      <w:r w:rsidR="00267383" w:rsidRPr="00E61B72">
        <w:rPr>
          <w:rFonts w:asciiTheme="minorHAnsi" w:hAnsiTheme="minorHAnsi" w:cstheme="minorHAnsi"/>
          <w:sz w:val="22"/>
          <w:szCs w:val="22"/>
        </w:rPr>
        <w:t xml:space="preserve">.  </w:t>
      </w:r>
      <w:r w:rsidR="00E41324">
        <w:rPr>
          <w:rFonts w:asciiTheme="minorHAnsi" w:hAnsiTheme="minorHAnsi" w:cstheme="minorHAnsi"/>
          <w:sz w:val="22"/>
          <w:szCs w:val="22"/>
        </w:rPr>
        <w:t xml:space="preserve">The jury were not </w:t>
      </w:r>
      <w:r w:rsidR="00267383" w:rsidRPr="00E61B72">
        <w:rPr>
          <w:rFonts w:asciiTheme="minorHAnsi" w:hAnsiTheme="minorHAnsi" w:cstheme="minorHAnsi"/>
          <w:sz w:val="22"/>
          <w:szCs w:val="22"/>
        </w:rPr>
        <w:t xml:space="preserve">obliged to </w:t>
      </w:r>
      <w:r w:rsidR="00E41324">
        <w:rPr>
          <w:rFonts w:asciiTheme="minorHAnsi" w:hAnsiTheme="minorHAnsi" w:cstheme="minorHAnsi"/>
          <w:sz w:val="22"/>
          <w:szCs w:val="22"/>
        </w:rPr>
        <w:t>a narrative conclusion</w:t>
      </w:r>
      <w:r w:rsidR="00267383" w:rsidRPr="00E61B72">
        <w:rPr>
          <w:rFonts w:asciiTheme="minorHAnsi" w:hAnsiTheme="minorHAnsi" w:cstheme="minorHAnsi"/>
          <w:sz w:val="22"/>
          <w:szCs w:val="22"/>
        </w:rPr>
        <w:t xml:space="preserve">, </w:t>
      </w:r>
      <w:r w:rsidR="00E41324">
        <w:rPr>
          <w:rFonts w:asciiTheme="minorHAnsi" w:hAnsiTheme="minorHAnsi" w:cstheme="minorHAnsi"/>
          <w:sz w:val="22"/>
          <w:szCs w:val="22"/>
        </w:rPr>
        <w:t xml:space="preserve">and </w:t>
      </w:r>
      <w:r w:rsidR="00267383" w:rsidRPr="00E61B72">
        <w:rPr>
          <w:rFonts w:asciiTheme="minorHAnsi" w:hAnsiTheme="minorHAnsi" w:cstheme="minorHAnsi"/>
          <w:sz w:val="22"/>
          <w:szCs w:val="22"/>
        </w:rPr>
        <w:t xml:space="preserve">the </w:t>
      </w:r>
      <w:r w:rsidR="00E41324">
        <w:rPr>
          <w:rFonts w:asciiTheme="minorHAnsi" w:hAnsiTheme="minorHAnsi" w:cstheme="minorHAnsi"/>
          <w:sz w:val="22"/>
          <w:szCs w:val="22"/>
        </w:rPr>
        <w:t>Defendant C</w:t>
      </w:r>
      <w:r w:rsidR="00267383" w:rsidRPr="00E61B72">
        <w:rPr>
          <w:rFonts w:asciiTheme="minorHAnsi" w:hAnsiTheme="minorHAnsi" w:cstheme="minorHAnsi"/>
          <w:sz w:val="22"/>
          <w:szCs w:val="22"/>
        </w:rPr>
        <w:t xml:space="preserve">oroner elicited the findings and determinations </w:t>
      </w:r>
      <w:r w:rsidR="00E41324">
        <w:rPr>
          <w:rFonts w:asciiTheme="minorHAnsi" w:hAnsiTheme="minorHAnsi" w:cstheme="minorHAnsi"/>
          <w:sz w:val="22"/>
          <w:szCs w:val="22"/>
        </w:rPr>
        <w:t xml:space="preserve">as </w:t>
      </w:r>
      <w:r w:rsidR="00267383" w:rsidRPr="00E61B72">
        <w:rPr>
          <w:rFonts w:asciiTheme="minorHAnsi" w:hAnsiTheme="minorHAnsi" w:cstheme="minorHAnsi"/>
          <w:sz w:val="22"/>
          <w:szCs w:val="22"/>
        </w:rPr>
        <w:t xml:space="preserve">the public interest required.  All the relevant facts were before the jury.  The scope of the inquest was wide because </w:t>
      </w:r>
      <w:r w:rsidR="00E41324">
        <w:rPr>
          <w:rFonts w:asciiTheme="minorHAnsi" w:hAnsiTheme="minorHAnsi" w:cstheme="minorHAnsi"/>
          <w:sz w:val="22"/>
          <w:szCs w:val="22"/>
        </w:rPr>
        <w:t>of the possible application of A</w:t>
      </w:r>
      <w:r w:rsidR="00267383" w:rsidRPr="00E61B72">
        <w:rPr>
          <w:rFonts w:asciiTheme="minorHAnsi" w:hAnsiTheme="minorHAnsi" w:cstheme="minorHAnsi"/>
          <w:sz w:val="22"/>
          <w:szCs w:val="22"/>
        </w:rPr>
        <w:t>rticle 2</w:t>
      </w:r>
      <w:r w:rsidR="003E7FB7">
        <w:rPr>
          <w:rFonts w:asciiTheme="minorHAnsi" w:hAnsiTheme="minorHAnsi" w:cstheme="minorHAnsi"/>
          <w:sz w:val="22"/>
          <w:szCs w:val="22"/>
        </w:rPr>
        <w:t xml:space="preserve">, which had been deferred until the end of hearing the evidence. </w:t>
      </w:r>
      <w:r w:rsidR="00E41324">
        <w:rPr>
          <w:rFonts w:asciiTheme="minorHAnsi" w:hAnsiTheme="minorHAnsi" w:cstheme="minorHAnsi"/>
          <w:sz w:val="22"/>
          <w:szCs w:val="22"/>
        </w:rPr>
        <w:t xml:space="preserve"> </w:t>
      </w:r>
    </w:p>
    <w:p w14:paraId="44F0E4F8" w14:textId="77777777" w:rsidR="000208C8" w:rsidRPr="00E61B72" w:rsidRDefault="000208C8" w:rsidP="00267383">
      <w:pPr>
        <w:spacing w:after="0" w:line="360" w:lineRule="auto"/>
        <w:jc w:val="both"/>
        <w:rPr>
          <w:rFonts w:cstheme="minorHAnsi"/>
          <w:lang w:val="en-US"/>
        </w:rPr>
      </w:pPr>
    </w:p>
    <w:p w14:paraId="688CD48F" w14:textId="77777777" w:rsidR="00267383" w:rsidRPr="00E61B72" w:rsidRDefault="00267383" w:rsidP="00267383">
      <w:pPr>
        <w:spacing w:after="0" w:line="360" w:lineRule="auto"/>
        <w:jc w:val="both"/>
        <w:rPr>
          <w:rFonts w:cstheme="minorHAnsi"/>
          <w:b/>
          <w:u w:val="single"/>
          <w:lang w:val="en-US"/>
        </w:rPr>
      </w:pPr>
      <w:r w:rsidRPr="00E61B72">
        <w:rPr>
          <w:rFonts w:cstheme="minorHAnsi"/>
          <w:b/>
          <w:u w:val="single"/>
          <w:lang w:val="en-US"/>
        </w:rPr>
        <w:t>PFD</w:t>
      </w:r>
    </w:p>
    <w:p w14:paraId="7DC36350" w14:textId="77777777" w:rsidR="003E7FB7" w:rsidRPr="00E61B72" w:rsidRDefault="003E7FB7" w:rsidP="003E7FB7">
      <w:pPr>
        <w:spacing w:after="0" w:line="360" w:lineRule="auto"/>
        <w:jc w:val="both"/>
        <w:rPr>
          <w:rFonts w:cstheme="minorHAnsi"/>
        </w:rPr>
      </w:pPr>
      <w:r>
        <w:rPr>
          <w:rFonts w:cstheme="minorHAnsi"/>
        </w:rPr>
        <w:t>Giving evidence at the inquest Dr Forrest, the</w:t>
      </w:r>
      <w:r>
        <w:t xml:space="preserve"> medical director of the Anaesthesia, Trauma and Critical Care (</w:t>
      </w:r>
      <w:r>
        <w:rPr>
          <w:b/>
          <w:bCs/>
        </w:rPr>
        <w:t>ATACC</w:t>
      </w:r>
      <w:r>
        <w:t xml:space="preserve">) Group, which provides professional training and clinical governance to Lancashire Constabulary; and medical director of Cheshire Fire &amp; Rescue Service, Hampshire Fire and Rescue Service, </w:t>
      </w:r>
      <w:r>
        <w:rPr>
          <w:rFonts w:cstheme="minorHAnsi"/>
        </w:rPr>
        <w:t xml:space="preserve">recommended that removal of the drugs packages and subsequent management should be highlighted nationally to senior officers in each force. </w:t>
      </w:r>
    </w:p>
    <w:p w14:paraId="4BC5ED72" w14:textId="77777777" w:rsidR="003E7FB7" w:rsidRDefault="003E7FB7" w:rsidP="00267383">
      <w:pPr>
        <w:spacing w:after="0" w:line="360" w:lineRule="auto"/>
        <w:jc w:val="both"/>
        <w:rPr>
          <w:rFonts w:cstheme="minorHAnsi"/>
        </w:rPr>
      </w:pPr>
    </w:p>
    <w:p w14:paraId="03331226" w14:textId="77777777" w:rsidR="00267383" w:rsidRPr="00E61B72" w:rsidRDefault="003E397C" w:rsidP="00267383">
      <w:pPr>
        <w:spacing w:after="0" w:line="360" w:lineRule="auto"/>
        <w:jc w:val="both"/>
        <w:rPr>
          <w:rFonts w:cstheme="minorHAnsi"/>
        </w:rPr>
      </w:pPr>
      <w:r>
        <w:rPr>
          <w:rFonts w:cstheme="minorHAnsi"/>
        </w:rPr>
        <w:t xml:space="preserve">The Applicant </w:t>
      </w:r>
      <w:r w:rsidR="005D26D1" w:rsidRPr="00E61B72">
        <w:rPr>
          <w:rFonts w:cstheme="minorHAnsi"/>
        </w:rPr>
        <w:t>submit</w:t>
      </w:r>
      <w:r>
        <w:rPr>
          <w:rFonts w:cstheme="minorHAnsi"/>
        </w:rPr>
        <w:t xml:space="preserve">ted </w:t>
      </w:r>
      <w:r w:rsidR="005D26D1" w:rsidRPr="00E61B72">
        <w:rPr>
          <w:rFonts w:cstheme="minorHAnsi"/>
        </w:rPr>
        <w:t xml:space="preserve">that the </w:t>
      </w:r>
      <w:r>
        <w:rPr>
          <w:rFonts w:cstheme="minorHAnsi"/>
        </w:rPr>
        <w:t xml:space="preserve">Defendant Coroner </w:t>
      </w:r>
      <w:r w:rsidR="005D26D1" w:rsidRPr="00E61B72">
        <w:rPr>
          <w:rFonts w:cstheme="minorHAnsi"/>
        </w:rPr>
        <w:t xml:space="preserve">did not discharge his duty to make a PFD report.  </w:t>
      </w:r>
      <w:r w:rsidR="003E7FB7">
        <w:rPr>
          <w:rFonts w:cstheme="minorHAnsi"/>
        </w:rPr>
        <w:t xml:space="preserve">It was </w:t>
      </w:r>
      <w:r w:rsidR="005D26D1" w:rsidRPr="00E61B72">
        <w:rPr>
          <w:rFonts w:cstheme="minorHAnsi"/>
        </w:rPr>
        <w:t>asserted that he evaded his statutory duty to do so and that to write a “letter of concern” instead was contrary to that duty and to the chief coroner’s guidance</w:t>
      </w:r>
      <w:r w:rsidR="00C95126">
        <w:rPr>
          <w:rFonts w:cstheme="minorHAnsi"/>
        </w:rPr>
        <w:t>,</w:t>
      </w:r>
      <w:r w:rsidR="005D26D1" w:rsidRPr="00E61B72">
        <w:rPr>
          <w:rFonts w:cstheme="minorHAnsi"/>
        </w:rPr>
        <w:t xml:space="preserve"> and was wrong in principle. </w:t>
      </w:r>
    </w:p>
    <w:p w14:paraId="594BE636" w14:textId="77777777" w:rsidR="00E61C49" w:rsidRPr="00E61B72" w:rsidRDefault="00E61C49" w:rsidP="00267383">
      <w:pPr>
        <w:spacing w:after="0" w:line="360" w:lineRule="auto"/>
        <w:jc w:val="both"/>
        <w:rPr>
          <w:rFonts w:cstheme="minorHAnsi"/>
        </w:rPr>
      </w:pPr>
    </w:p>
    <w:p w14:paraId="4FCB9E7A" w14:textId="77777777" w:rsidR="00E61C49" w:rsidRDefault="003E7FB7" w:rsidP="00267383">
      <w:pPr>
        <w:spacing w:after="0" w:line="360" w:lineRule="auto"/>
        <w:jc w:val="both"/>
        <w:rPr>
          <w:rFonts w:cstheme="minorHAnsi"/>
        </w:rPr>
      </w:pPr>
      <w:r>
        <w:rPr>
          <w:rFonts w:cstheme="minorHAnsi"/>
        </w:rPr>
        <w:t xml:space="preserve">This ground was dismissed. It was held that </w:t>
      </w:r>
      <w:r w:rsidR="0004659A">
        <w:rPr>
          <w:rFonts w:cstheme="minorHAnsi"/>
        </w:rPr>
        <w:t>the D</w:t>
      </w:r>
      <w:r>
        <w:rPr>
          <w:rFonts w:cstheme="minorHAnsi"/>
        </w:rPr>
        <w:t xml:space="preserve">efendant Coroner </w:t>
      </w:r>
      <w:r w:rsidR="0004659A">
        <w:rPr>
          <w:rFonts w:cstheme="minorHAnsi"/>
        </w:rPr>
        <w:t>had taken a</w:t>
      </w:r>
      <w:r w:rsidR="00E61C49" w:rsidRPr="00E61B72">
        <w:rPr>
          <w:rFonts w:cstheme="minorHAnsi"/>
        </w:rPr>
        <w:t xml:space="preserve"> properly considered and rational view </w:t>
      </w:r>
      <w:r w:rsidR="00C95126">
        <w:rPr>
          <w:rFonts w:cstheme="minorHAnsi"/>
        </w:rPr>
        <w:t>that was</w:t>
      </w:r>
      <w:r w:rsidR="00E61C49" w:rsidRPr="00E61B72">
        <w:rPr>
          <w:rFonts w:cstheme="minorHAnsi"/>
        </w:rPr>
        <w:t xml:space="preserve"> not out of line with what is said on the subject in Revised Guidance No. 5.  </w:t>
      </w:r>
    </w:p>
    <w:p w14:paraId="518B9EA3" w14:textId="77777777" w:rsidR="003E397C" w:rsidRDefault="003E397C" w:rsidP="00267383">
      <w:pPr>
        <w:spacing w:after="0" w:line="360" w:lineRule="auto"/>
        <w:jc w:val="both"/>
        <w:rPr>
          <w:rFonts w:cstheme="minorHAnsi"/>
        </w:rPr>
      </w:pPr>
    </w:p>
    <w:p w14:paraId="7451B7C4" w14:textId="77777777" w:rsidR="00E61C49" w:rsidRPr="00E61B72" w:rsidRDefault="00E61C49" w:rsidP="00E61B72">
      <w:pPr>
        <w:spacing w:after="0" w:line="360" w:lineRule="auto"/>
        <w:jc w:val="both"/>
        <w:rPr>
          <w:rFonts w:cstheme="minorHAnsi"/>
          <w:b/>
          <w:u w:val="single"/>
          <w:lang w:val="en-US"/>
        </w:rPr>
      </w:pPr>
      <w:r w:rsidRPr="00E61B72">
        <w:rPr>
          <w:rFonts w:cstheme="minorHAnsi"/>
          <w:b/>
          <w:u w:val="single"/>
          <w:lang w:val="en-US"/>
        </w:rPr>
        <w:t xml:space="preserve">Conclusion </w:t>
      </w:r>
    </w:p>
    <w:p w14:paraId="7E03D143" w14:textId="77777777" w:rsidR="00E61B72" w:rsidRDefault="001B5A18" w:rsidP="00E61B72">
      <w:pPr>
        <w:pStyle w:val="ParaLevel1"/>
        <w:numPr>
          <w:ilvl w:val="0"/>
          <w:numId w:val="0"/>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The court </w:t>
      </w:r>
      <w:r w:rsidR="00E61B72" w:rsidRPr="00E61B72">
        <w:rPr>
          <w:rFonts w:asciiTheme="minorHAnsi" w:hAnsiTheme="minorHAnsi" w:cstheme="minorHAnsi"/>
          <w:sz w:val="22"/>
          <w:szCs w:val="22"/>
        </w:rPr>
        <w:t xml:space="preserve">found none of the grounds of challenge made out.  The third ground, had it succeeded, would not have led to a direction for a fresh inquest.  </w:t>
      </w:r>
      <w:r>
        <w:rPr>
          <w:rFonts w:asciiTheme="minorHAnsi" w:hAnsiTheme="minorHAnsi" w:cstheme="minorHAnsi"/>
          <w:sz w:val="22"/>
          <w:szCs w:val="22"/>
        </w:rPr>
        <w:t xml:space="preserve">The court went on to state that it was unlikely </w:t>
      </w:r>
      <w:r>
        <w:rPr>
          <w:rFonts w:asciiTheme="minorHAnsi" w:hAnsiTheme="minorHAnsi" w:cstheme="minorHAnsi"/>
          <w:sz w:val="22"/>
          <w:szCs w:val="22"/>
        </w:rPr>
        <w:lastRenderedPageBreak/>
        <w:t xml:space="preserve">that a fresh inquest would have been directed </w:t>
      </w:r>
      <w:r w:rsidR="00E61B72" w:rsidRPr="00E61B72">
        <w:rPr>
          <w:rFonts w:asciiTheme="minorHAnsi" w:hAnsiTheme="minorHAnsi" w:cstheme="minorHAnsi"/>
          <w:sz w:val="22"/>
          <w:szCs w:val="22"/>
        </w:rPr>
        <w:t xml:space="preserve">even if either or both of the first two grounds had succeeded.  The scope of the inquest was wide and the evidence plentiful and thorough.  The cause of death was undisputed.  Aside from the bar on judgmental language in a narrative verdict, the conduct of the inquest was akin to an </w:t>
      </w:r>
      <w:r>
        <w:rPr>
          <w:rFonts w:asciiTheme="minorHAnsi" w:hAnsiTheme="minorHAnsi" w:cstheme="minorHAnsi"/>
          <w:sz w:val="22"/>
          <w:szCs w:val="22"/>
        </w:rPr>
        <w:t>A</w:t>
      </w:r>
      <w:r w:rsidR="00E61B72" w:rsidRPr="00E61B72">
        <w:rPr>
          <w:rFonts w:asciiTheme="minorHAnsi" w:hAnsiTheme="minorHAnsi" w:cstheme="minorHAnsi"/>
          <w:sz w:val="22"/>
          <w:szCs w:val="22"/>
        </w:rPr>
        <w:t>rticle 2 inquest.</w:t>
      </w:r>
    </w:p>
    <w:p w14:paraId="737FE94E" w14:textId="77777777" w:rsidR="003E397C" w:rsidRPr="00E61B72" w:rsidRDefault="003E397C" w:rsidP="00E61B72">
      <w:pPr>
        <w:pStyle w:val="ParaLevel1"/>
        <w:numPr>
          <w:ilvl w:val="0"/>
          <w:numId w:val="0"/>
        </w:numPr>
        <w:spacing w:before="0" w:after="0" w:line="360" w:lineRule="auto"/>
        <w:rPr>
          <w:rFonts w:asciiTheme="minorHAnsi" w:hAnsiTheme="minorHAnsi" w:cstheme="minorHAnsi"/>
          <w:sz w:val="22"/>
          <w:szCs w:val="22"/>
        </w:rPr>
      </w:pPr>
    </w:p>
    <w:p w14:paraId="0D2639D1" w14:textId="77777777" w:rsidR="00E61B72" w:rsidRDefault="00E61B72" w:rsidP="00E61B72">
      <w:pPr>
        <w:pStyle w:val="ParaLevel1"/>
        <w:numPr>
          <w:ilvl w:val="0"/>
          <w:numId w:val="0"/>
        </w:numPr>
        <w:spacing w:before="0" w:after="0" w:line="360" w:lineRule="auto"/>
        <w:rPr>
          <w:rFonts w:asciiTheme="minorHAnsi" w:hAnsiTheme="minorHAnsi" w:cstheme="minorHAnsi"/>
          <w:sz w:val="22"/>
          <w:szCs w:val="22"/>
        </w:rPr>
      </w:pPr>
      <w:r w:rsidRPr="00E61B72">
        <w:rPr>
          <w:rFonts w:asciiTheme="minorHAnsi" w:hAnsiTheme="minorHAnsi" w:cstheme="minorHAnsi"/>
          <w:sz w:val="22"/>
          <w:szCs w:val="22"/>
        </w:rPr>
        <w:t>The growth of narrative verdicts, has to be balanced against discouragement of lengthy narrative accounts of the circumstances of a death.  Here, the short form misadventure verdict clearly pointed to the view of the jury that the officers were not significantly to blame for Mr Robinson’s death.</w:t>
      </w:r>
      <w:r w:rsidR="005179C3">
        <w:rPr>
          <w:rFonts w:asciiTheme="minorHAnsi" w:hAnsiTheme="minorHAnsi" w:cstheme="minorHAnsi"/>
          <w:sz w:val="22"/>
          <w:szCs w:val="22"/>
        </w:rPr>
        <w:t xml:space="preserve"> </w:t>
      </w:r>
      <w:r w:rsidRPr="00E61B72">
        <w:rPr>
          <w:rFonts w:asciiTheme="minorHAnsi" w:hAnsiTheme="minorHAnsi" w:cstheme="minorHAnsi"/>
          <w:sz w:val="22"/>
          <w:szCs w:val="22"/>
        </w:rPr>
        <w:t xml:space="preserve">The evidence supported that proposition.  It was obvious the officers thought Mr Robinson had swallowed something, did not realise his airway was completely blocked, attributed his unresponsiveness to the effect of drugs, would probably have called for medical help sooner if they had realised his airway was blocked, </w:t>
      </w:r>
      <w:r w:rsidR="009E03FC">
        <w:rPr>
          <w:rFonts w:asciiTheme="minorHAnsi" w:hAnsiTheme="minorHAnsi" w:cstheme="minorHAnsi"/>
          <w:sz w:val="22"/>
          <w:szCs w:val="22"/>
        </w:rPr>
        <w:t xml:space="preserve">but </w:t>
      </w:r>
      <w:r w:rsidRPr="00E61B72">
        <w:rPr>
          <w:rFonts w:asciiTheme="minorHAnsi" w:hAnsiTheme="minorHAnsi" w:cstheme="minorHAnsi"/>
          <w:sz w:val="22"/>
          <w:szCs w:val="22"/>
        </w:rPr>
        <w:t>could not be expected to detect and remove the blockage themselves</w:t>
      </w:r>
      <w:r w:rsidR="005179C3">
        <w:rPr>
          <w:rFonts w:asciiTheme="minorHAnsi" w:hAnsiTheme="minorHAnsi" w:cstheme="minorHAnsi"/>
          <w:sz w:val="22"/>
          <w:szCs w:val="22"/>
        </w:rPr>
        <w:t xml:space="preserve">. They </w:t>
      </w:r>
      <w:r w:rsidRPr="00E61B72">
        <w:rPr>
          <w:rFonts w:asciiTheme="minorHAnsi" w:hAnsiTheme="minorHAnsi" w:cstheme="minorHAnsi"/>
          <w:sz w:val="22"/>
          <w:szCs w:val="22"/>
        </w:rPr>
        <w:t>called the paramedics once they realised this was a medical emergency.</w:t>
      </w:r>
    </w:p>
    <w:p w14:paraId="0E84D0BC" w14:textId="77777777" w:rsidR="00E61B72" w:rsidRPr="00E61B72" w:rsidRDefault="00E61B72" w:rsidP="00E61B72">
      <w:pPr>
        <w:pStyle w:val="ParaLevel1"/>
        <w:numPr>
          <w:ilvl w:val="0"/>
          <w:numId w:val="0"/>
        </w:numPr>
        <w:spacing w:before="0" w:after="0" w:line="360" w:lineRule="auto"/>
        <w:rPr>
          <w:rFonts w:asciiTheme="minorHAnsi" w:hAnsiTheme="minorHAnsi" w:cstheme="minorHAnsi"/>
          <w:sz w:val="22"/>
          <w:szCs w:val="22"/>
        </w:rPr>
      </w:pPr>
    </w:p>
    <w:p w14:paraId="18486C8E" w14:textId="77777777" w:rsidR="00E61B72" w:rsidRPr="00E61B72" w:rsidRDefault="00E61B72" w:rsidP="00E61B72">
      <w:pPr>
        <w:pStyle w:val="ParaLevel1"/>
        <w:numPr>
          <w:ilvl w:val="0"/>
          <w:numId w:val="0"/>
        </w:numPr>
        <w:spacing w:before="0" w:after="0" w:line="360" w:lineRule="auto"/>
        <w:rPr>
          <w:rFonts w:asciiTheme="minorHAnsi" w:hAnsiTheme="minorHAnsi" w:cstheme="minorHAnsi"/>
          <w:sz w:val="22"/>
          <w:szCs w:val="22"/>
        </w:rPr>
      </w:pPr>
      <w:r w:rsidRPr="00E61B72">
        <w:rPr>
          <w:rFonts w:asciiTheme="minorHAnsi" w:hAnsiTheme="minorHAnsi" w:cstheme="minorHAnsi"/>
          <w:sz w:val="22"/>
          <w:szCs w:val="22"/>
        </w:rPr>
        <w:t xml:space="preserve">Any fresh inquest would be likely to lead to those findings being the subject of the same evidence called again and the findings being repeated.  Any narrative </w:t>
      </w:r>
      <w:r w:rsidR="005179C3">
        <w:rPr>
          <w:rFonts w:asciiTheme="minorHAnsi" w:hAnsiTheme="minorHAnsi" w:cstheme="minorHAnsi"/>
          <w:sz w:val="22"/>
          <w:szCs w:val="22"/>
        </w:rPr>
        <w:t xml:space="preserve">conclusion </w:t>
      </w:r>
      <w:r w:rsidRPr="00E61B72">
        <w:rPr>
          <w:rFonts w:asciiTheme="minorHAnsi" w:hAnsiTheme="minorHAnsi" w:cstheme="minorHAnsi"/>
          <w:sz w:val="22"/>
          <w:szCs w:val="22"/>
        </w:rPr>
        <w:t xml:space="preserve">would be likely to state those findings or the gist.  Thus, a fresh inquest would elicit no new material facts. </w:t>
      </w:r>
    </w:p>
    <w:p w14:paraId="2D79362A" w14:textId="77777777" w:rsidR="00E61B72" w:rsidRPr="00E61B72" w:rsidRDefault="00E61B72" w:rsidP="00E61B72">
      <w:pPr>
        <w:pStyle w:val="ParaLevel1"/>
        <w:numPr>
          <w:ilvl w:val="0"/>
          <w:numId w:val="0"/>
        </w:numPr>
        <w:spacing w:before="0" w:after="0" w:line="360" w:lineRule="auto"/>
        <w:rPr>
          <w:rFonts w:asciiTheme="minorHAnsi" w:hAnsiTheme="minorHAnsi" w:cstheme="minorHAnsi"/>
          <w:sz w:val="22"/>
          <w:szCs w:val="22"/>
        </w:rPr>
      </w:pPr>
    </w:p>
    <w:p w14:paraId="1E1FB40A" w14:textId="77777777" w:rsidR="00E61B72" w:rsidRPr="00E61B72" w:rsidRDefault="00E61B72" w:rsidP="00E61B72">
      <w:pPr>
        <w:pStyle w:val="ParaLevel1"/>
        <w:numPr>
          <w:ilvl w:val="0"/>
          <w:numId w:val="0"/>
        </w:numPr>
        <w:spacing w:before="0" w:after="0" w:line="360" w:lineRule="auto"/>
        <w:rPr>
          <w:rFonts w:asciiTheme="minorHAnsi" w:hAnsiTheme="minorHAnsi" w:cstheme="minorHAnsi"/>
          <w:b/>
          <w:sz w:val="22"/>
          <w:szCs w:val="22"/>
          <w:u w:val="single"/>
        </w:rPr>
      </w:pPr>
      <w:r w:rsidRPr="00E61B72">
        <w:rPr>
          <w:rFonts w:asciiTheme="minorHAnsi" w:hAnsiTheme="minorHAnsi" w:cstheme="minorHAnsi"/>
          <w:b/>
          <w:sz w:val="22"/>
          <w:szCs w:val="22"/>
          <w:u w:val="single"/>
        </w:rPr>
        <w:t xml:space="preserve">Comment </w:t>
      </w:r>
    </w:p>
    <w:p w14:paraId="414AA1C0" w14:textId="77777777" w:rsidR="00E61C49" w:rsidRDefault="00E61B72" w:rsidP="00E61B72">
      <w:pPr>
        <w:spacing w:after="0" w:line="360" w:lineRule="auto"/>
        <w:jc w:val="both"/>
      </w:pPr>
      <w:r w:rsidRPr="00E61B72">
        <w:rPr>
          <w:rFonts w:cstheme="minorHAnsi"/>
          <w:lang w:val="en-US"/>
        </w:rPr>
        <w:t xml:space="preserve">The decision may be of some interest </w:t>
      </w:r>
      <w:r w:rsidR="0023727F">
        <w:rPr>
          <w:rFonts w:cstheme="minorHAnsi"/>
          <w:lang w:val="en-US"/>
        </w:rPr>
        <w:t xml:space="preserve">to </w:t>
      </w:r>
      <w:r w:rsidRPr="00E61B72">
        <w:rPr>
          <w:rFonts w:cstheme="minorHAnsi"/>
          <w:lang w:val="en-US"/>
        </w:rPr>
        <w:t xml:space="preserve">those </w:t>
      </w:r>
      <w:r w:rsidR="006326A5">
        <w:rPr>
          <w:rFonts w:cstheme="minorHAnsi"/>
          <w:lang w:val="en-US"/>
        </w:rPr>
        <w:t>involved in police cases</w:t>
      </w:r>
      <w:r w:rsidR="00F20EE2">
        <w:rPr>
          <w:rFonts w:cstheme="minorHAnsi"/>
          <w:lang w:val="en-US"/>
        </w:rPr>
        <w:t>,</w:t>
      </w:r>
      <w:r w:rsidR="006326A5">
        <w:rPr>
          <w:rFonts w:cstheme="minorHAnsi"/>
          <w:lang w:val="en-US"/>
        </w:rPr>
        <w:t xml:space="preserve"> in so far as the non-application</w:t>
      </w:r>
      <w:r w:rsidR="00750120">
        <w:rPr>
          <w:rFonts w:cstheme="minorHAnsi"/>
          <w:lang w:val="en-US"/>
        </w:rPr>
        <w:t xml:space="preserve"> of Article 2 is concerned</w:t>
      </w:r>
      <w:r w:rsidR="00F20EE2">
        <w:rPr>
          <w:rFonts w:cstheme="minorHAnsi"/>
          <w:lang w:val="en-US"/>
        </w:rPr>
        <w:t>. T</w:t>
      </w:r>
      <w:r w:rsidR="00750120">
        <w:rPr>
          <w:rFonts w:cstheme="minorHAnsi"/>
          <w:lang w:val="en-US"/>
        </w:rPr>
        <w:t xml:space="preserve">he court rejected an attempt to expand the </w:t>
      </w:r>
      <w:r w:rsidR="00750120">
        <w:t xml:space="preserve">categories in which the state’s procedural </w:t>
      </w:r>
      <w:r w:rsidR="00F20EE2">
        <w:t>A</w:t>
      </w:r>
      <w:r w:rsidR="00750120">
        <w:t xml:space="preserve">rticle 2 obligation arises automatically. </w:t>
      </w:r>
    </w:p>
    <w:p w14:paraId="63CCBB79" w14:textId="0EB3F447" w:rsidR="00DD27C1" w:rsidRDefault="00DD27C1" w:rsidP="00E61B72">
      <w:pPr>
        <w:spacing w:after="0" w:line="360" w:lineRule="auto"/>
        <w:jc w:val="both"/>
        <w:rPr>
          <w:rFonts w:cstheme="minorHAnsi"/>
          <w:lang w:val="en-US"/>
        </w:rPr>
      </w:pPr>
      <w:r>
        <w:t>The Court preferred the word verdict to conclusion in the judgment.</w:t>
      </w:r>
    </w:p>
    <w:p w14:paraId="672C0C7A" w14:textId="77777777" w:rsidR="006326A5" w:rsidRDefault="006326A5" w:rsidP="00E61B72">
      <w:pPr>
        <w:spacing w:after="0" w:line="360" w:lineRule="auto"/>
        <w:jc w:val="both"/>
        <w:rPr>
          <w:rFonts w:cstheme="minorHAnsi"/>
          <w:lang w:val="en-US"/>
        </w:rPr>
      </w:pPr>
    </w:p>
    <w:p w14:paraId="1FE79A56" w14:textId="77777777" w:rsidR="006326A5" w:rsidRPr="00E61B72" w:rsidRDefault="006326A5" w:rsidP="00E61B72">
      <w:pPr>
        <w:spacing w:after="0" w:line="360" w:lineRule="auto"/>
        <w:jc w:val="both"/>
        <w:rPr>
          <w:rFonts w:cstheme="minorHAnsi"/>
          <w:lang w:val="en-US"/>
        </w:rPr>
      </w:pPr>
      <w:r>
        <w:rPr>
          <w:rFonts w:cstheme="minorHAnsi"/>
          <w:lang w:val="en-US"/>
        </w:rPr>
        <w:t xml:space="preserve">The case </w:t>
      </w:r>
      <w:r w:rsidR="00A96CB9">
        <w:rPr>
          <w:rFonts w:cstheme="minorHAnsi"/>
          <w:lang w:val="en-US"/>
        </w:rPr>
        <w:t xml:space="preserve">also </w:t>
      </w:r>
      <w:r>
        <w:rPr>
          <w:rFonts w:cstheme="minorHAnsi"/>
          <w:lang w:val="en-US"/>
        </w:rPr>
        <w:t xml:space="preserve">reinforces the line of authorities in </w:t>
      </w:r>
      <w:r w:rsidR="00024377" w:rsidRPr="00024377">
        <w:rPr>
          <w:rFonts w:cstheme="minorHAnsi"/>
          <w:i/>
          <w:lang w:val="en-US"/>
        </w:rPr>
        <w:t xml:space="preserve">Ayesha </w:t>
      </w:r>
      <w:r w:rsidRPr="00024377">
        <w:rPr>
          <w:rFonts w:cstheme="minorHAnsi"/>
          <w:i/>
          <w:lang w:val="en-US"/>
        </w:rPr>
        <w:t>Siddique</w:t>
      </w:r>
      <w:r w:rsidR="00024377" w:rsidRPr="00024377">
        <w:rPr>
          <w:rFonts w:cstheme="minorHAnsi"/>
          <w:i/>
          <w:lang w:val="en-US"/>
        </w:rPr>
        <w:t xml:space="preserve"> v Assistant Coroner for the Eastern Area of Greater London [2017]</w:t>
      </w:r>
      <w:r>
        <w:rPr>
          <w:rFonts w:cstheme="minorHAnsi"/>
          <w:lang w:val="en-US"/>
        </w:rPr>
        <w:t xml:space="preserve"> and </w:t>
      </w:r>
      <w:r w:rsidRPr="00891584">
        <w:rPr>
          <w:rFonts w:cstheme="minorHAnsi"/>
          <w:i/>
          <w:lang w:val="en-US"/>
        </w:rPr>
        <w:t>R (On the application of Diarra Dillon) v HM Assistant Coroner for Rutland and North Leicestershire &amp; Others [2022] EWHC 3186 (KB) (Admin)</w:t>
      </w:r>
      <w:r>
        <w:rPr>
          <w:rFonts w:cstheme="minorHAnsi"/>
          <w:lang w:val="en-US"/>
        </w:rPr>
        <w:t xml:space="preserve">, </w:t>
      </w:r>
      <w:r w:rsidR="00665B07">
        <w:rPr>
          <w:rFonts w:cstheme="minorHAnsi"/>
          <w:lang w:val="en-US"/>
        </w:rPr>
        <w:t>that challenging</w:t>
      </w:r>
      <w:r>
        <w:rPr>
          <w:rFonts w:cstheme="minorHAnsi"/>
          <w:lang w:val="en-US"/>
        </w:rPr>
        <w:t xml:space="preserve"> an issue around PFD’s would not lead to a direction for a fresh inquest. </w:t>
      </w:r>
    </w:p>
    <w:sectPr w:rsidR="006326A5" w:rsidRPr="00E61B7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3FE47" w14:textId="77777777" w:rsidR="003C19DB" w:rsidRDefault="003C19DB" w:rsidP="000447C0">
      <w:pPr>
        <w:spacing w:after="0" w:line="240" w:lineRule="auto"/>
      </w:pPr>
      <w:r>
        <w:separator/>
      </w:r>
    </w:p>
  </w:endnote>
  <w:endnote w:type="continuationSeparator" w:id="0">
    <w:p w14:paraId="4E809346" w14:textId="77777777" w:rsidR="003C19DB" w:rsidRDefault="003C19DB" w:rsidP="0004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68747"/>
      <w:docPartObj>
        <w:docPartGallery w:val="Page Numbers (Bottom of Page)"/>
        <w:docPartUnique/>
      </w:docPartObj>
    </w:sdtPr>
    <w:sdtEndPr>
      <w:rPr>
        <w:noProof/>
      </w:rPr>
    </w:sdtEndPr>
    <w:sdtContent>
      <w:p w14:paraId="7A19AEF6" w14:textId="77777777" w:rsidR="000447C0" w:rsidRDefault="000447C0">
        <w:pPr>
          <w:pStyle w:val="Footer"/>
          <w:jc w:val="center"/>
        </w:pPr>
        <w:r>
          <w:fldChar w:fldCharType="begin"/>
        </w:r>
        <w:r>
          <w:instrText xml:space="preserve"> PAGE   \* MERGEFORMAT </w:instrText>
        </w:r>
        <w:r>
          <w:fldChar w:fldCharType="separate"/>
        </w:r>
        <w:r w:rsidR="00F20EE2">
          <w:rPr>
            <w:noProof/>
          </w:rPr>
          <w:t>3</w:t>
        </w:r>
        <w:r>
          <w:rPr>
            <w:noProof/>
          </w:rPr>
          <w:fldChar w:fldCharType="end"/>
        </w:r>
      </w:p>
    </w:sdtContent>
  </w:sdt>
  <w:p w14:paraId="4659F992" w14:textId="77777777" w:rsidR="000447C0" w:rsidRDefault="0004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B512F" w14:textId="77777777" w:rsidR="003C19DB" w:rsidRDefault="003C19DB" w:rsidP="000447C0">
      <w:pPr>
        <w:spacing w:after="0" w:line="240" w:lineRule="auto"/>
      </w:pPr>
      <w:r>
        <w:separator/>
      </w:r>
    </w:p>
  </w:footnote>
  <w:footnote w:type="continuationSeparator" w:id="0">
    <w:p w14:paraId="75333CF1" w14:textId="77777777" w:rsidR="003C19DB" w:rsidRDefault="003C19DB" w:rsidP="00044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073AA"/>
    <w:multiLevelType w:val="hybridMultilevel"/>
    <w:tmpl w:val="2182C712"/>
    <w:lvl w:ilvl="0" w:tplc="EB687C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52988838">
    <w:abstractNumId w:val="1"/>
  </w:num>
  <w:num w:numId="2" w16cid:durableId="183541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C0"/>
    <w:rsid w:val="00016622"/>
    <w:rsid w:val="00016BBE"/>
    <w:rsid w:val="00017548"/>
    <w:rsid w:val="000208C8"/>
    <w:rsid w:val="000216B8"/>
    <w:rsid w:val="00024377"/>
    <w:rsid w:val="000312F7"/>
    <w:rsid w:val="000447C0"/>
    <w:rsid w:val="0004659A"/>
    <w:rsid w:val="000A1918"/>
    <w:rsid w:val="00121DA9"/>
    <w:rsid w:val="00125CAD"/>
    <w:rsid w:val="001659C8"/>
    <w:rsid w:val="001B5A18"/>
    <w:rsid w:val="0021106B"/>
    <w:rsid w:val="0023727F"/>
    <w:rsid w:val="00267383"/>
    <w:rsid w:val="00275EE1"/>
    <w:rsid w:val="002C1A93"/>
    <w:rsid w:val="002E329B"/>
    <w:rsid w:val="002F714C"/>
    <w:rsid w:val="0030122D"/>
    <w:rsid w:val="00314464"/>
    <w:rsid w:val="00357061"/>
    <w:rsid w:val="003A121B"/>
    <w:rsid w:val="003C1237"/>
    <w:rsid w:val="003C19DB"/>
    <w:rsid w:val="003E397C"/>
    <w:rsid w:val="003E7FB7"/>
    <w:rsid w:val="00411973"/>
    <w:rsid w:val="004943BC"/>
    <w:rsid w:val="004958F6"/>
    <w:rsid w:val="004972C3"/>
    <w:rsid w:val="004E3DBC"/>
    <w:rsid w:val="00512A48"/>
    <w:rsid w:val="005179C3"/>
    <w:rsid w:val="00521C7D"/>
    <w:rsid w:val="00570FA5"/>
    <w:rsid w:val="005D26D1"/>
    <w:rsid w:val="005E4C05"/>
    <w:rsid w:val="005F01B3"/>
    <w:rsid w:val="005F665F"/>
    <w:rsid w:val="00610736"/>
    <w:rsid w:val="006326A5"/>
    <w:rsid w:val="00642D8C"/>
    <w:rsid w:val="00665B07"/>
    <w:rsid w:val="00680E34"/>
    <w:rsid w:val="00696CCC"/>
    <w:rsid w:val="00696EF8"/>
    <w:rsid w:val="006D3B82"/>
    <w:rsid w:val="007438BB"/>
    <w:rsid w:val="00750120"/>
    <w:rsid w:val="007D4796"/>
    <w:rsid w:val="007D7443"/>
    <w:rsid w:val="007E5313"/>
    <w:rsid w:val="00891584"/>
    <w:rsid w:val="008A2A84"/>
    <w:rsid w:val="008C6D49"/>
    <w:rsid w:val="009364AA"/>
    <w:rsid w:val="00944027"/>
    <w:rsid w:val="00961CD9"/>
    <w:rsid w:val="009729EC"/>
    <w:rsid w:val="009E03FC"/>
    <w:rsid w:val="00A96CB9"/>
    <w:rsid w:val="00AB5AA0"/>
    <w:rsid w:val="00AC42DE"/>
    <w:rsid w:val="00AD322C"/>
    <w:rsid w:val="00B11571"/>
    <w:rsid w:val="00B160A4"/>
    <w:rsid w:val="00B61A17"/>
    <w:rsid w:val="00B82C56"/>
    <w:rsid w:val="00B97742"/>
    <w:rsid w:val="00C20540"/>
    <w:rsid w:val="00C64AB8"/>
    <w:rsid w:val="00C95126"/>
    <w:rsid w:val="00CF67F9"/>
    <w:rsid w:val="00D6528A"/>
    <w:rsid w:val="00D92F3D"/>
    <w:rsid w:val="00DB6F33"/>
    <w:rsid w:val="00DB7BE4"/>
    <w:rsid w:val="00DD27C1"/>
    <w:rsid w:val="00DF24D0"/>
    <w:rsid w:val="00DF3FE4"/>
    <w:rsid w:val="00E27813"/>
    <w:rsid w:val="00E41324"/>
    <w:rsid w:val="00E52D1D"/>
    <w:rsid w:val="00E61B72"/>
    <w:rsid w:val="00E61C49"/>
    <w:rsid w:val="00E67D30"/>
    <w:rsid w:val="00EA5575"/>
    <w:rsid w:val="00EB24BA"/>
    <w:rsid w:val="00EC2DDE"/>
    <w:rsid w:val="00ED5936"/>
    <w:rsid w:val="00EE35BA"/>
    <w:rsid w:val="00F20EE2"/>
    <w:rsid w:val="00F66055"/>
    <w:rsid w:val="00F7767A"/>
    <w:rsid w:val="00F839F8"/>
    <w:rsid w:val="00FF0E13"/>
    <w:rsid w:val="00FF0E4F"/>
    <w:rsid w:val="00FF4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19DA"/>
  <w15:chartTrackingRefBased/>
  <w15:docId w15:val="{D88F4EB7-1F94-4CA2-BFFD-43EF494D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7C0"/>
  </w:style>
  <w:style w:type="paragraph" w:styleId="Footer">
    <w:name w:val="footer"/>
    <w:basedOn w:val="Normal"/>
    <w:link w:val="FooterChar"/>
    <w:uiPriority w:val="99"/>
    <w:unhideWhenUsed/>
    <w:rsid w:val="00044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7C0"/>
  </w:style>
  <w:style w:type="paragraph" w:customStyle="1" w:styleId="ParaLevel1">
    <w:name w:val="ParaLevel1"/>
    <w:basedOn w:val="Normal"/>
    <w:rsid w:val="000312F7"/>
    <w:pPr>
      <w:numPr>
        <w:numId w:val="1"/>
      </w:numPr>
      <w:suppressAutoHyphens/>
      <w:spacing w:before="240" w:after="240" w:line="480" w:lineRule="auto"/>
      <w:jc w:val="both"/>
      <w:outlineLvl w:val="0"/>
    </w:pPr>
    <w:rPr>
      <w:rFonts w:ascii="Times New Roman" w:eastAsia="Times New Roman" w:hAnsi="Times New Roman" w:cs="Times New Roman"/>
      <w:sz w:val="24"/>
      <w:szCs w:val="20"/>
    </w:rPr>
  </w:style>
  <w:style w:type="paragraph" w:customStyle="1" w:styleId="ParaLevel2">
    <w:name w:val="ParaLevel2"/>
    <w:basedOn w:val="Normal"/>
    <w:rsid w:val="000312F7"/>
    <w:pPr>
      <w:numPr>
        <w:ilvl w:val="1"/>
        <w:numId w:val="1"/>
      </w:numPr>
      <w:suppressAutoHyphens/>
      <w:spacing w:before="240" w:after="240" w:line="480" w:lineRule="auto"/>
      <w:jc w:val="both"/>
      <w:outlineLvl w:val="1"/>
    </w:pPr>
    <w:rPr>
      <w:rFonts w:ascii="Times New Roman" w:eastAsia="Times New Roman" w:hAnsi="Times New Roman" w:cs="Times New Roman"/>
      <w:sz w:val="24"/>
      <w:szCs w:val="20"/>
    </w:rPr>
  </w:style>
  <w:style w:type="paragraph" w:customStyle="1" w:styleId="ParaLevel3">
    <w:name w:val="ParaLevel3"/>
    <w:basedOn w:val="Normal"/>
    <w:rsid w:val="000312F7"/>
    <w:pPr>
      <w:numPr>
        <w:ilvl w:val="2"/>
        <w:numId w:val="1"/>
      </w:numPr>
      <w:suppressAutoHyphens/>
      <w:spacing w:before="240" w:after="240" w:line="480" w:lineRule="auto"/>
      <w:jc w:val="both"/>
      <w:outlineLvl w:val="2"/>
    </w:pPr>
    <w:rPr>
      <w:rFonts w:ascii="Times New Roman" w:eastAsia="Times New Roman" w:hAnsi="Times New Roman" w:cs="Times New Roman"/>
      <w:sz w:val="24"/>
      <w:szCs w:val="20"/>
    </w:rPr>
  </w:style>
  <w:style w:type="paragraph" w:customStyle="1" w:styleId="ParaLevel4">
    <w:name w:val="ParaLevel4"/>
    <w:basedOn w:val="Normal"/>
    <w:rsid w:val="000312F7"/>
    <w:pPr>
      <w:numPr>
        <w:ilvl w:val="3"/>
        <w:numId w:val="1"/>
      </w:numPr>
      <w:tabs>
        <w:tab w:val="clear" w:pos="3207"/>
        <w:tab w:val="num" w:pos="2836"/>
      </w:tabs>
      <w:suppressAutoHyphens/>
      <w:spacing w:before="240" w:after="240" w:line="480" w:lineRule="auto"/>
      <w:jc w:val="both"/>
      <w:outlineLvl w:val="3"/>
    </w:pPr>
    <w:rPr>
      <w:rFonts w:ascii="Times New Roman" w:eastAsia="Times New Roman" w:hAnsi="Times New Roman" w:cs="Times New Roman"/>
      <w:sz w:val="24"/>
      <w:szCs w:val="20"/>
    </w:rPr>
  </w:style>
  <w:style w:type="paragraph" w:customStyle="1" w:styleId="ParaLevel5">
    <w:name w:val="ParaLevel5"/>
    <w:basedOn w:val="Normal"/>
    <w:rsid w:val="000312F7"/>
    <w:pPr>
      <w:numPr>
        <w:ilvl w:val="4"/>
        <w:numId w:val="1"/>
      </w:numPr>
      <w:suppressAutoHyphens/>
      <w:spacing w:before="240" w:after="240" w:line="480" w:lineRule="auto"/>
      <w:jc w:val="both"/>
      <w:outlineLvl w:val="4"/>
    </w:pPr>
    <w:rPr>
      <w:rFonts w:ascii="Times New Roman" w:eastAsia="Times New Roman" w:hAnsi="Times New Roman" w:cs="Times New Roman"/>
      <w:sz w:val="24"/>
      <w:szCs w:val="20"/>
    </w:rPr>
  </w:style>
  <w:style w:type="paragraph" w:customStyle="1" w:styleId="ParaLevel6">
    <w:name w:val="ParaLevel6"/>
    <w:basedOn w:val="Normal"/>
    <w:rsid w:val="000312F7"/>
    <w:pPr>
      <w:numPr>
        <w:ilvl w:val="5"/>
        <w:numId w:val="1"/>
      </w:numPr>
      <w:tabs>
        <w:tab w:val="clear" w:pos="4625"/>
        <w:tab w:val="num" w:pos="4254"/>
      </w:tabs>
      <w:suppressAutoHyphens/>
      <w:spacing w:before="240" w:after="240" w:line="480" w:lineRule="auto"/>
      <w:jc w:val="both"/>
      <w:outlineLvl w:val="5"/>
    </w:pPr>
    <w:rPr>
      <w:rFonts w:ascii="Times New Roman" w:eastAsia="Times New Roman" w:hAnsi="Times New Roman" w:cs="Times New Roman"/>
      <w:sz w:val="24"/>
      <w:szCs w:val="20"/>
    </w:rPr>
  </w:style>
  <w:style w:type="paragraph" w:customStyle="1" w:styleId="ParaLevel7">
    <w:name w:val="ParaLevel7"/>
    <w:basedOn w:val="Normal"/>
    <w:rsid w:val="000312F7"/>
    <w:pPr>
      <w:numPr>
        <w:ilvl w:val="6"/>
        <w:numId w:val="1"/>
      </w:numPr>
      <w:suppressAutoHyphens/>
      <w:spacing w:before="240" w:after="240" w:line="480" w:lineRule="auto"/>
      <w:jc w:val="both"/>
      <w:outlineLvl w:val="6"/>
    </w:pPr>
    <w:rPr>
      <w:rFonts w:ascii="Times New Roman" w:eastAsia="Times New Roman" w:hAnsi="Times New Roman" w:cs="Times New Roman"/>
      <w:sz w:val="24"/>
      <w:szCs w:val="20"/>
    </w:rPr>
  </w:style>
  <w:style w:type="paragraph" w:customStyle="1" w:styleId="ParaLevel8">
    <w:name w:val="ParaLevel8"/>
    <w:basedOn w:val="Normal"/>
    <w:rsid w:val="000312F7"/>
    <w:pPr>
      <w:numPr>
        <w:ilvl w:val="7"/>
        <w:numId w:val="1"/>
      </w:numPr>
      <w:tabs>
        <w:tab w:val="clear" w:pos="6043"/>
        <w:tab w:val="num" w:pos="5672"/>
      </w:tabs>
      <w:suppressAutoHyphens/>
      <w:spacing w:before="240" w:after="240" w:line="480" w:lineRule="auto"/>
      <w:jc w:val="both"/>
      <w:outlineLvl w:val="7"/>
    </w:pPr>
    <w:rPr>
      <w:rFonts w:ascii="Times New Roman" w:eastAsia="Times New Roman" w:hAnsi="Times New Roman" w:cs="Times New Roman"/>
      <w:sz w:val="24"/>
      <w:szCs w:val="20"/>
    </w:rPr>
  </w:style>
  <w:style w:type="paragraph" w:customStyle="1" w:styleId="ParaLevel9">
    <w:name w:val="ParaLevel9"/>
    <w:basedOn w:val="Normal"/>
    <w:rsid w:val="000312F7"/>
    <w:pPr>
      <w:numPr>
        <w:ilvl w:val="8"/>
        <w:numId w:val="1"/>
      </w:numPr>
      <w:suppressAutoHyphens/>
      <w:spacing w:before="240" w:after="240" w:line="480" w:lineRule="auto"/>
      <w:jc w:val="both"/>
      <w:outlineLvl w:val="8"/>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6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Cousins</dc:creator>
  <cp:keywords/>
  <dc:description/>
  <cp:lastModifiedBy>Ty Price</cp:lastModifiedBy>
  <cp:revision>2</cp:revision>
  <dcterms:created xsi:type="dcterms:W3CDTF">2025-04-03T11:05:00Z</dcterms:created>
  <dcterms:modified xsi:type="dcterms:W3CDTF">2025-04-03T11:05:00Z</dcterms:modified>
</cp:coreProperties>
</file>